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3E4FF">
      <w:pPr>
        <w:spacing w:line="560" w:lineRule="exact"/>
        <w:rPr>
          <w:rFonts w:hint="eastAsia" w:ascii="宋体" w:hAnsi="宋体" w:eastAsia="宋体" w:cs="宋体"/>
          <w:color w:val="auto"/>
          <w:sz w:val="48"/>
          <w:highlight w:val="none"/>
        </w:rPr>
      </w:pPr>
    </w:p>
    <w:p w14:paraId="1CB2F260">
      <w:pPr>
        <w:spacing w:line="560" w:lineRule="exac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莆田市水利工程</w:t>
      </w:r>
    </w:p>
    <w:p w14:paraId="19C12DDF">
      <w:pPr>
        <w:jc w:val="center"/>
        <w:rPr>
          <w:rFonts w:hint="eastAsia" w:ascii="宋体" w:hAnsi="宋体" w:eastAsia="宋体" w:cs="宋体"/>
          <w:b/>
          <w:color w:val="auto"/>
          <w:sz w:val="44"/>
          <w:szCs w:val="44"/>
          <w:highlight w:val="none"/>
        </w:rPr>
      </w:pPr>
    </w:p>
    <w:p w14:paraId="34176C0E">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施 工 招 标 文 件</w:t>
      </w:r>
    </w:p>
    <w:p w14:paraId="72E30CDD">
      <w:pPr>
        <w:spacing w:line="560" w:lineRule="exact"/>
        <w:jc w:val="center"/>
        <w:rPr>
          <w:rFonts w:hint="eastAsia" w:ascii="宋体" w:hAnsi="宋体" w:eastAsia="宋体" w:cs="宋体"/>
          <w:color w:val="auto"/>
          <w:sz w:val="32"/>
          <w:szCs w:val="32"/>
          <w:highlight w:val="none"/>
        </w:rPr>
      </w:pPr>
    </w:p>
    <w:p w14:paraId="34C03F4C">
      <w:pPr>
        <w:spacing w:line="560" w:lineRule="exact"/>
        <w:jc w:val="center"/>
        <w:rPr>
          <w:rFonts w:hint="eastAsia" w:ascii="宋体" w:hAnsi="宋体" w:eastAsia="宋体" w:cs="宋体"/>
          <w:color w:val="auto"/>
          <w:sz w:val="120"/>
          <w:highlight w:val="none"/>
          <w:lang w:eastAsia="zh-CN"/>
        </w:rPr>
      </w:pPr>
      <w:r>
        <w:rPr>
          <w:rFonts w:hint="eastAsia" w:ascii="宋体" w:hAnsi="宋体" w:cs="Times New Roman"/>
          <w:b/>
          <w:color w:val="auto"/>
          <w:sz w:val="36"/>
          <w:szCs w:val="36"/>
          <w:highlight w:val="none"/>
          <w:lang w:val="en-US" w:eastAsia="zh-CN"/>
        </w:rPr>
        <w:t xml:space="preserve"> </w:t>
      </w:r>
    </w:p>
    <w:p w14:paraId="61739B6E">
      <w:pPr>
        <w:spacing w:line="900" w:lineRule="exact"/>
        <w:rPr>
          <w:rFonts w:hint="eastAsia" w:ascii="宋体" w:hAnsi="宋体" w:eastAsia="宋体" w:cs="宋体"/>
          <w:color w:val="auto"/>
          <w:sz w:val="28"/>
          <w:szCs w:val="28"/>
          <w:highlight w:val="none"/>
        </w:rPr>
      </w:pPr>
    </w:p>
    <w:p w14:paraId="620798D0">
      <w:pPr>
        <w:spacing w:line="1000" w:lineRule="exact"/>
        <w:rPr>
          <w:rFonts w:hint="eastAsia" w:ascii="宋体" w:hAnsi="宋体" w:eastAsia="宋体" w:cs="宋体"/>
          <w:color w:val="auto"/>
          <w:sz w:val="30"/>
          <w:szCs w:val="30"/>
          <w:highlight w:val="none"/>
        </w:rPr>
      </w:pPr>
    </w:p>
    <w:p w14:paraId="2830CC6F">
      <w:pPr>
        <w:keepNext w:val="0"/>
        <w:keepLines w:val="0"/>
        <w:pageBreakBefore w:val="0"/>
        <w:widowControl w:val="0"/>
        <w:kinsoku/>
        <w:wordWrap/>
        <w:overflowPunct/>
        <w:topLinePunct w:val="0"/>
        <w:autoSpaceDE/>
        <w:autoSpaceDN/>
        <w:bidi w:val="0"/>
        <w:adjustRightInd/>
        <w:snapToGrid/>
        <w:spacing w:line="1000" w:lineRule="exact"/>
        <w:ind w:firstLine="300" w:firstLineChars="100"/>
        <w:jc w:val="left"/>
        <w:textAlignment w:val="auto"/>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 xml:space="preserve">招  标  编  </w:t>
      </w:r>
      <w:r>
        <w:rPr>
          <w:rFonts w:hint="eastAsia" w:ascii="宋体" w:hAnsi="宋体" w:eastAsia="宋体" w:cs="宋体"/>
          <w:color w:val="auto"/>
          <w:sz w:val="30"/>
          <w:szCs w:val="30"/>
          <w:highlight w:val="none"/>
        </w:rPr>
        <w:t>号：</w:t>
      </w:r>
      <w:r>
        <w:rPr>
          <w:rFonts w:hint="eastAsia" w:ascii="宋体" w:hAnsi="宋体" w:cs="宋体"/>
          <w:color w:val="auto"/>
          <w:sz w:val="30"/>
          <w:szCs w:val="30"/>
          <w:highlight w:val="none"/>
          <w:u w:val="single"/>
          <w:lang w:val="en-US" w:eastAsia="zh-CN"/>
        </w:rPr>
        <w:t xml:space="preserve">FJLX【2025】079号                      </w:t>
      </w:r>
      <w:r>
        <w:rPr>
          <w:rFonts w:hint="eastAsia" w:ascii="宋体" w:hAnsi="宋体" w:eastAsia="宋体" w:cs="宋体"/>
          <w:color w:val="auto"/>
          <w:sz w:val="30"/>
          <w:szCs w:val="30"/>
          <w:highlight w:val="none"/>
          <w:u w:val="single"/>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 xml:space="preserve"> </w:t>
      </w:r>
    </w:p>
    <w:p w14:paraId="1E5464DD">
      <w:pPr>
        <w:keepNext w:val="0"/>
        <w:keepLines w:val="0"/>
        <w:pageBreakBefore w:val="0"/>
        <w:widowControl w:val="0"/>
        <w:kinsoku/>
        <w:wordWrap/>
        <w:overflowPunct/>
        <w:topLinePunct w:val="0"/>
        <w:autoSpaceDE/>
        <w:autoSpaceDN/>
        <w:bidi w:val="0"/>
        <w:adjustRightInd/>
        <w:snapToGrid/>
        <w:spacing w:line="1000" w:lineRule="exact"/>
        <w:ind w:firstLine="300" w:firstLineChars="100"/>
        <w:jc w:val="left"/>
        <w:textAlignment w:val="auto"/>
        <w:rPr>
          <w:rFonts w:hint="default" w:ascii="宋体" w:hAnsi="宋体" w:eastAsia="Malgun Gothic" w:cs="宋体"/>
          <w:color w:val="auto"/>
          <w:sz w:val="30"/>
          <w:szCs w:val="30"/>
          <w:highlight w:val="none"/>
          <w:u w:val="single"/>
          <w:lang w:val="en-US"/>
        </w:rPr>
      </w:pPr>
      <w:r>
        <w:rPr>
          <w:rFonts w:hint="eastAsia" w:ascii="宋体" w:hAnsi="宋体" w:eastAsia="宋体" w:cs="宋体"/>
          <w:color w:val="auto"/>
          <w:sz w:val="30"/>
          <w:szCs w:val="30"/>
          <w:highlight w:val="none"/>
        </w:rPr>
        <w:t>项  目  名  称：</w:t>
      </w:r>
      <w:r>
        <w:rPr>
          <w:rFonts w:hint="eastAsia" w:ascii="宋体" w:hAnsi="宋体" w:cs="宋体"/>
          <w:color w:val="auto"/>
          <w:sz w:val="30"/>
          <w:szCs w:val="30"/>
          <w:highlight w:val="none"/>
          <w:u w:val="single"/>
          <w:lang w:eastAsia="zh-CN"/>
        </w:rPr>
        <w:t>莆田市湄洲岛再生水利用配置试点项目（二期）</w:t>
      </w:r>
      <w:r>
        <w:rPr>
          <w:rFonts w:hint="eastAsia" w:ascii="宋体" w:hAnsi="宋体" w:eastAsia="宋体" w:cs="宋体"/>
          <w:color w:val="auto"/>
          <w:sz w:val="30"/>
          <w:szCs w:val="30"/>
          <w:highlight w:val="none"/>
          <w:u w:val="single"/>
          <w:lang w:val="en-US" w:eastAsia="zh-CN"/>
        </w:rPr>
        <w:t xml:space="preserve">      </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lang w:val="en-US" w:eastAsia="zh-CN"/>
        </w:rPr>
        <w:t xml:space="preserve">  </w:t>
      </w:r>
    </w:p>
    <w:p w14:paraId="484D7815">
      <w:pPr>
        <w:keepNext w:val="0"/>
        <w:keepLines w:val="0"/>
        <w:pageBreakBefore w:val="0"/>
        <w:widowControl w:val="0"/>
        <w:kinsoku/>
        <w:wordWrap/>
        <w:overflowPunct/>
        <w:topLinePunct w:val="0"/>
        <w:autoSpaceDE/>
        <w:autoSpaceDN/>
        <w:bidi w:val="0"/>
        <w:adjustRightInd/>
        <w:snapToGrid/>
        <w:spacing w:line="1000" w:lineRule="exact"/>
        <w:ind w:firstLine="300" w:firstLineChars="100"/>
        <w:jc w:val="left"/>
        <w:textAlignment w:val="auto"/>
        <w:rPr>
          <w:rFonts w:hint="eastAsia" w:ascii="宋体" w:hAnsi="宋体" w:eastAsia="宋体" w:cs="宋体"/>
          <w:color w:val="auto"/>
          <w:sz w:val="30"/>
          <w:szCs w:val="30"/>
          <w:highlight w:val="none"/>
          <w:u w:val="single"/>
        </w:rPr>
      </w:pPr>
      <w:r>
        <w:rPr>
          <w:rFonts w:hint="eastAsia" w:ascii="宋体" w:hAnsi="宋体" w:eastAsia="宋体" w:cs="宋体"/>
          <w:color w:val="auto"/>
          <w:sz w:val="30"/>
          <w:szCs w:val="30"/>
          <w:highlight w:val="none"/>
        </w:rPr>
        <w:t>招    标    人：</w:t>
      </w:r>
      <w:r>
        <w:rPr>
          <w:rFonts w:hint="eastAsia" w:ascii="宋体" w:hAnsi="宋体" w:cs="宋体"/>
          <w:color w:val="auto"/>
          <w:sz w:val="30"/>
          <w:szCs w:val="30"/>
          <w:highlight w:val="none"/>
          <w:u w:val="single"/>
          <w:lang w:val="en-US" w:eastAsia="zh-CN"/>
        </w:rPr>
        <w:t>莆田市湄洲岛旅游建设集团有限公司</w:t>
      </w:r>
      <w:r>
        <w:rPr>
          <w:rFonts w:hint="eastAsia" w:ascii="宋体" w:hAnsi="宋体" w:eastAsia="宋体" w:cs="宋体"/>
          <w:color w:val="auto"/>
          <w:sz w:val="30"/>
          <w:szCs w:val="30"/>
          <w:highlight w:val="none"/>
          <w:u w:val="single"/>
        </w:rPr>
        <w:t xml:space="preserve"> （盖章）</w:t>
      </w:r>
    </w:p>
    <w:p w14:paraId="5E21CCC9">
      <w:pPr>
        <w:keepNext w:val="0"/>
        <w:keepLines w:val="0"/>
        <w:pageBreakBefore w:val="0"/>
        <w:widowControl w:val="0"/>
        <w:kinsoku/>
        <w:wordWrap w:val="0"/>
        <w:overflowPunct/>
        <w:topLinePunct w:val="0"/>
        <w:autoSpaceDE/>
        <w:autoSpaceDN/>
        <w:bidi w:val="0"/>
        <w:adjustRightInd/>
        <w:snapToGrid/>
        <w:spacing w:line="1000" w:lineRule="exact"/>
        <w:ind w:firstLine="348" w:firstLineChars="100"/>
        <w:jc w:val="left"/>
        <w:textAlignment w:val="auto"/>
        <w:rPr>
          <w:rFonts w:hint="eastAsia" w:ascii="宋体" w:hAnsi="宋体" w:eastAsia="宋体" w:cs="宋体"/>
          <w:color w:val="auto"/>
          <w:sz w:val="30"/>
          <w:szCs w:val="30"/>
          <w:highlight w:val="none"/>
          <w:u w:val="single"/>
        </w:rPr>
      </w:pPr>
      <w:r>
        <w:rPr>
          <w:rFonts w:hint="eastAsia" w:ascii="宋体" w:hAnsi="宋体" w:eastAsia="宋体" w:cs="宋体"/>
          <w:color w:val="auto"/>
          <w:spacing w:val="24"/>
          <w:sz w:val="30"/>
          <w:szCs w:val="30"/>
          <w:highlight w:val="none"/>
        </w:rPr>
        <w:t>招标代理单位：</w:t>
      </w:r>
      <w:r>
        <w:rPr>
          <w:rFonts w:hint="eastAsia" w:ascii="宋体" w:hAnsi="宋体" w:cs="宋体"/>
          <w:color w:val="auto"/>
          <w:sz w:val="30"/>
          <w:szCs w:val="30"/>
          <w:highlight w:val="none"/>
          <w:u w:val="single"/>
          <w:lang w:eastAsia="zh-CN"/>
        </w:rPr>
        <w:t>福建立信招投标管理有限公司</w:t>
      </w:r>
      <w:r>
        <w:rPr>
          <w:rFonts w:hint="eastAsia" w:ascii="宋体" w:hAnsi="宋体" w:cs="宋体"/>
          <w:color w:val="auto"/>
          <w:sz w:val="30"/>
          <w:szCs w:val="30"/>
          <w:highlight w:val="none"/>
          <w:u w:val="single"/>
          <w:lang w:val="en-US" w:eastAsia="zh-CN"/>
        </w:rPr>
        <w:t xml:space="preserve">       </w:t>
      </w:r>
      <w:r>
        <w:rPr>
          <w:rFonts w:hint="eastAsia" w:ascii="宋体" w:hAnsi="宋体" w:eastAsia="宋体" w:cs="宋体"/>
          <w:color w:val="auto"/>
          <w:sz w:val="30"/>
          <w:szCs w:val="30"/>
          <w:highlight w:val="none"/>
          <w:u w:val="single"/>
        </w:rPr>
        <w:t>（盖章）</w:t>
      </w:r>
    </w:p>
    <w:p w14:paraId="799D38E6">
      <w:pPr>
        <w:keepNext w:val="0"/>
        <w:keepLines w:val="0"/>
        <w:pageBreakBefore w:val="0"/>
        <w:widowControl w:val="0"/>
        <w:kinsoku/>
        <w:wordWrap/>
        <w:overflowPunct/>
        <w:topLinePunct w:val="0"/>
        <w:autoSpaceDE/>
        <w:autoSpaceDN/>
        <w:bidi w:val="0"/>
        <w:adjustRightInd/>
        <w:snapToGrid/>
        <w:spacing w:line="1000" w:lineRule="exact"/>
        <w:ind w:firstLine="600" w:firstLineChars="200"/>
        <w:jc w:val="left"/>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535784AF">
      <w:pPr>
        <w:spacing w:line="860" w:lineRule="exact"/>
        <w:jc w:val="center"/>
        <w:rPr>
          <w:rFonts w:hint="eastAsia" w:ascii="宋体" w:hAnsi="宋体" w:eastAsia="宋体" w:cs="宋体"/>
          <w:color w:val="auto"/>
          <w:sz w:val="32"/>
          <w:szCs w:val="32"/>
          <w:highlight w:val="none"/>
        </w:rPr>
      </w:pPr>
    </w:p>
    <w:p w14:paraId="37D5FCD1">
      <w:pPr>
        <w:spacing w:line="860" w:lineRule="exact"/>
        <w:jc w:val="center"/>
        <w:rPr>
          <w:rFonts w:hint="eastAsia" w:ascii="宋体" w:hAnsi="宋体" w:eastAsia="宋体" w:cs="宋体"/>
          <w:color w:val="auto"/>
          <w:sz w:val="32"/>
          <w:szCs w:val="32"/>
          <w:highlight w:val="none"/>
        </w:rPr>
      </w:pPr>
    </w:p>
    <w:p w14:paraId="72D4331E">
      <w:pPr>
        <w:spacing w:line="86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2"/>
          <w:szCs w:val="32"/>
          <w:highlight w:val="none"/>
        </w:rPr>
        <w:t>日  期：</w:t>
      </w:r>
      <w:r>
        <w:rPr>
          <w:rFonts w:hint="eastAsia" w:ascii="宋体" w:hAnsi="宋体" w:eastAsia="宋体" w:cs="宋体"/>
          <w:color w:val="auto"/>
          <w:sz w:val="32"/>
          <w:szCs w:val="32"/>
          <w:highlight w:val="none"/>
          <w:lang w:val="en-US" w:eastAsia="zh-CN"/>
        </w:rPr>
        <w:t>2025</w:t>
      </w:r>
      <w:r>
        <w:rPr>
          <w:rFonts w:hint="eastAsia" w:ascii="宋体" w:hAnsi="宋体" w:eastAsia="宋体" w:cs="宋体"/>
          <w:color w:val="auto"/>
          <w:sz w:val="32"/>
          <w:szCs w:val="32"/>
          <w:highlight w:val="none"/>
        </w:rPr>
        <w:t>年</w:t>
      </w:r>
      <w:r>
        <w:rPr>
          <w:rFonts w:hint="eastAsia" w:ascii="宋体" w:hAnsi="宋体" w:cs="宋体"/>
          <w:color w:val="auto"/>
          <w:sz w:val="30"/>
          <w:szCs w:val="30"/>
          <w:highlight w:val="none"/>
          <w:lang w:val="en-US" w:eastAsia="zh-CN"/>
        </w:rPr>
        <w:t>11</w:t>
      </w:r>
      <w:r>
        <w:rPr>
          <w:rFonts w:hint="eastAsia" w:ascii="宋体" w:hAnsi="宋体" w:eastAsia="宋体" w:cs="宋体"/>
          <w:color w:val="auto"/>
          <w:sz w:val="30"/>
          <w:szCs w:val="30"/>
          <w:highlight w:val="none"/>
        </w:rPr>
        <w:t>月</w:t>
      </w:r>
      <w:bookmarkStart w:id="0" w:name="_Toc204114710"/>
      <w:bookmarkStart w:id="1" w:name="_Toc259218655"/>
    </w:p>
    <w:bookmarkEnd w:id="0"/>
    <w:bookmarkEnd w:id="1"/>
    <w:p w14:paraId="17C661A9">
      <w:pP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br w:type="page"/>
      </w:r>
    </w:p>
    <w:p w14:paraId="0E901D00">
      <w:pPr>
        <w:pageBreakBefore/>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目 录</w:t>
      </w:r>
    </w:p>
    <w:p w14:paraId="35BACF20">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第一章  招标公告</w:t>
      </w:r>
    </w:p>
    <w:p w14:paraId="127AD5C5">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投标邀请书</w:t>
      </w:r>
    </w:p>
    <w:p w14:paraId="791CA387">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2．项目概况和招标范围</w:t>
      </w:r>
    </w:p>
    <w:p w14:paraId="1E713554">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3．投标人资格要求及审查方式</w:t>
      </w:r>
    </w:p>
    <w:p w14:paraId="32C0E936">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4．招标文件的获取</w:t>
      </w:r>
    </w:p>
    <w:p w14:paraId="67CC37B3">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5．投标文件的递交</w:t>
      </w:r>
    </w:p>
    <w:p w14:paraId="10D3691C">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6．投标保证金的递交</w:t>
      </w:r>
    </w:p>
    <w:p w14:paraId="4F37F96F">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7．踏勘现场和投标预备会</w:t>
      </w:r>
    </w:p>
    <w:p w14:paraId="115B7AEE">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8．评标办法</w:t>
      </w:r>
    </w:p>
    <w:p w14:paraId="62FEE5FB">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9．发布公告的媒介</w:t>
      </w:r>
    </w:p>
    <w:p w14:paraId="6D89FFB2">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10．公告其他说明</w:t>
      </w:r>
    </w:p>
    <w:p w14:paraId="062FED4C">
      <w:pPr>
        <w:keepNext w:val="0"/>
        <w:keepLines w:val="0"/>
        <w:pageBreakBefore w:val="0"/>
        <w:widowControl/>
        <w:tabs>
          <w:tab w:val="left" w:pos="900"/>
          <w:tab w:val="left" w:pos="1100"/>
        </w:tabs>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11．联系方式</w:t>
      </w:r>
    </w:p>
    <w:p w14:paraId="0FF9305B">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投标人须知</w:t>
      </w:r>
    </w:p>
    <w:p w14:paraId="60092500">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（一）总则</w:t>
      </w:r>
    </w:p>
    <w:p w14:paraId="154467E5">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（二）招标文件</w:t>
      </w:r>
    </w:p>
    <w:p w14:paraId="2EF1D7B0">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（三）投标文件</w:t>
      </w:r>
    </w:p>
    <w:p w14:paraId="3B94E032">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（四）投标</w:t>
      </w:r>
    </w:p>
    <w:p w14:paraId="1CBD9ABC">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（五）开标、评标</w:t>
      </w:r>
    </w:p>
    <w:p w14:paraId="150F8A84">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（六）合同授予</w:t>
      </w:r>
    </w:p>
    <w:p w14:paraId="5AE8C8CF">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（七）重新招标和不再招标</w:t>
      </w:r>
    </w:p>
    <w:p w14:paraId="0BFEA3B1">
      <w:pPr>
        <w:keepNext w:val="0"/>
        <w:keepLines w:val="0"/>
        <w:pageBreakBefore w:val="0"/>
        <w:kinsoku/>
        <w:wordWrap/>
        <w:overflowPunct/>
        <w:topLinePunct w:val="0"/>
        <w:autoSpaceDE/>
        <w:autoSpaceDN/>
        <w:bidi w:val="0"/>
        <w:adjustRightInd/>
        <w:snapToGrid/>
        <w:spacing w:line="420" w:lineRule="exact"/>
        <w:ind w:firstLine="960" w:firstLineChars="400"/>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（八）投诉处理</w:t>
      </w:r>
    </w:p>
    <w:p w14:paraId="4342DFC3">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Times New Roman"/>
          <w:b/>
          <w:color w:val="auto"/>
          <w:sz w:val="32"/>
          <w:szCs w:val="32"/>
          <w:highlight w:val="none"/>
        </w:rPr>
        <w:t>第三章  合同条款</w:t>
      </w:r>
      <w:r>
        <w:rPr>
          <w:rFonts w:hint="eastAsia" w:ascii="宋体" w:hAnsi="宋体" w:eastAsia="宋体" w:cs="Times New Roman"/>
          <w:color w:val="auto"/>
          <w:sz w:val="24"/>
          <w:highlight w:val="none"/>
        </w:rPr>
        <w:t>（合同简本）</w:t>
      </w:r>
    </w:p>
    <w:p w14:paraId="7489F8A2">
      <w:pPr>
        <w:numPr>
          <w:ilvl w:val="0"/>
          <w:numId w:val="1"/>
        </w:numPr>
        <w:spacing w:before="156" w:beforeLines="50" w:after="156" w:afterLines="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工程量清单（另册提供）</w:t>
      </w:r>
    </w:p>
    <w:p w14:paraId="1D850DE7">
      <w:pPr>
        <w:numPr>
          <w:ilvl w:val="0"/>
          <w:numId w:val="1"/>
        </w:numPr>
        <w:spacing w:before="156" w:beforeLines="50" w:after="156" w:afterLines="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图纸（另册提供）</w:t>
      </w:r>
    </w:p>
    <w:p w14:paraId="38EFC348">
      <w:pPr>
        <w:numPr>
          <w:ilvl w:val="0"/>
          <w:numId w:val="1"/>
        </w:numPr>
        <w:spacing w:before="156" w:beforeLines="50" w:after="156" w:afterLines="50" w:line="400" w:lineRule="exact"/>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技术要求（另册提供</w:t>
      </w:r>
      <w:r>
        <w:rPr>
          <w:rFonts w:ascii="宋体" w:hAnsi="宋体" w:eastAsia="宋体" w:cs="Times New Roman"/>
          <w:b/>
          <w:color w:val="auto"/>
          <w:sz w:val="32"/>
          <w:szCs w:val="32"/>
          <w:highlight w:val="none"/>
        </w:rPr>
        <w:t>）</w:t>
      </w:r>
    </w:p>
    <w:p w14:paraId="2C1A43A6">
      <w:pPr>
        <w:numPr>
          <w:ilvl w:val="0"/>
          <w:numId w:val="1"/>
        </w:numPr>
        <w:spacing w:before="156" w:beforeLines="50" w:after="156" w:afterLines="50" w:line="400" w:lineRule="exact"/>
        <w:rPr>
          <w:rFonts w:hint="eastAsia" w:ascii="宋体" w:hAnsi="宋体" w:eastAsia="宋体" w:cs="宋体"/>
          <w:b/>
          <w:color w:val="auto"/>
          <w:sz w:val="32"/>
          <w:szCs w:val="32"/>
          <w:highlight w:val="none"/>
        </w:rPr>
      </w:pPr>
      <w:r>
        <w:rPr>
          <w:rFonts w:hint="eastAsia" w:ascii="宋体" w:hAnsi="宋体" w:eastAsia="宋体" w:cs="Times New Roman"/>
          <w:b/>
          <w:color w:val="auto"/>
          <w:sz w:val="32"/>
          <w:szCs w:val="32"/>
          <w:highlight w:val="none"/>
        </w:rPr>
        <w:t>投标文件格式</w:t>
      </w:r>
    </w:p>
    <w:p w14:paraId="6160C366">
      <w:pPr>
        <w:spacing w:line="360" w:lineRule="auto"/>
        <w:ind w:firstLine="1200" w:firstLineChars="500"/>
        <w:rPr>
          <w:rFonts w:hint="eastAsia" w:ascii="宋体" w:hAnsi="宋体" w:eastAsia="宋体" w:cs="Times New Roman"/>
          <w:b/>
          <w:color w:val="auto"/>
          <w:sz w:val="24"/>
          <w:highlight w:val="none"/>
        </w:rPr>
      </w:pPr>
      <w:r>
        <w:rPr>
          <w:rFonts w:hint="eastAsia" w:ascii="宋体" w:hAnsi="宋体" w:eastAsia="宋体" w:cs="Times New Roman"/>
          <w:color w:val="auto"/>
          <w:sz w:val="24"/>
          <w:highlight w:val="none"/>
        </w:rPr>
        <w:t>1. 投标承诺函及其附表（格式）</w:t>
      </w:r>
    </w:p>
    <w:p w14:paraId="40B3BF42">
      <w:pPr>
        <w:spacing w:line="360" w:lineRule="auto"/>
        <w:ind w:firstLine="1200" w:firstLineChars="5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 法定代表人资格证明书(格式)</w:t>
      </w:r>
    </w:p>
    <w:p w14:paraId="52F77507">
      <w:pPr>
        <w:spacing w:before="156" w:beforeLines="50" w:after="156" w:afterLines="50" w:line="5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第一章  投标邀请书</w:t>
      </w:r>
    </w:p>
    <w:p w14:paraId="66E1C2AD">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1.招标条件</w:t>
      </w:r>
    </w:p>
    <w:p w14:paraId="79FBFB91">
      <w:pPr>
        <w:keepNext w:val="0"/>
        <w:keepLines w:val="0"/>
        <w:pageBreakBefore w:val="0"/>
        <w:widowControl/>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本招标项目</w:t>
      </w:r>
      <w:r>
        <w:rPr>
          <w:rFonts w:hint="eastAsia" w:ascii="宋体" w:hAnsi="宋体" w:cs="宋体"/>
          <w:color w:val="auto"/>
          <w:sz w:val="24"/>
          <w:highlight w:val="none"/>
          <w:u w:val="single"/>
          <w:lang w:eastAsia="zh-CN"/>
        </w:rPr>
        <w:t>莆田市湄洲岛再生水利用配置试点项目（二期）</w:t>
      </w:r>
      <w:r>
        <w:rPr>
          <w:rFonts w:hint="eastAsia" w:ascii="宋体" w:hAnsi="宋体" w:eastAsia="宋体" w:cs="宋体"/>
          <w:color w:val="auto"/>
          <w:sz w:val="24"/>
          <w:highlight w:val="none"/>
        </w:rPr>
        <w:t>(项目名称)</w:t>
      </w:r>
      <w:r>
        <w:rPr>
          <w:rFonts w:hint="eastAsia" w:ascii="宋体" w:hAnsi="宋体" w:eastAsia="宋体" w:cs="Times New Roman"/>
          <w:color w:val="auto"/>
          <w:sz w:val="24"/>
          <w:highlight w:val="none"/>
        </w:rPr>
        <w:t>已</w:t>
      </w:r>
      <w:r>
        <w:rPr>
          <w:rFonts w:hint="eastAsia" w:ascii="宋体" w:hAnsi="宋体" w:eastAsia="宋体" w:cs="宋体"/>
          <w:color w:val="auto"/>
          <w:sz w:val="24"/>
          <w:highlight w:val="none"/>
        </w:rPr>
        <w:t>批准建设，项目业主为</w:t>
      </w:r>
      <w:r>
        <w:rPr>
          <w:rFonts w:hint="eastAsia" w:ascii="宋体" w:hAnsi="宋体" w:cs="宋体"/>
          <w:color w:val="auto"/>
          <w:sz w:val="24"/>
          <w:highlight w:val="none"/>
          <w:u w:val="single"/>
          <w:lang w:eastAsia="zh-CN"/>
        </w:rPr>
        <w:t>莆田市湄洲岛旅游建设集团有限公司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上级拨款</w:t>
      </w:r>
      <w:r>
        <w:rPr>
          <w:rFonts w:hint="eastAsia" w:ascii="宋体" w:hAnsi="宋体" w:eastAsia="宋体" w:cs="宋体"/>
          <w:color w:val="auto"/>
          <w:sz w:val="24"/>
          <w:highlight w:val="none"/>
        </w:rPr>
        <w:t>(资金来源)，招标人为</w:t>
      </w:r>
      <w:r>
        <w:rPr>
          <w:rFonts w:hint="eastAsia" w:ascii="宋体" w:hAnsi="宋体" w:cs="宋体"/>
          <w:color w:val="auto"/>
          <w:sz w:val="24"/>
          <w:highlight w:val="none"/>
          <w:u w:val="single"/>
          <w:lang w:eastAsia="zh-CN"/>
        </w:rPr>
        <w:t>莆田市湄洲岛旅游建设集团有限公司</w:t>
      </w:r>
      <w:r>
        <w:rPr>
          <w:rFonts w:hint="eastAsia" w:ascii="宋体" w:hAnsi="宋体" w:eastAsia="宋体" w:cs="宋体"/>
          <w:color w:val="auto"/>
          <w:sz w:val="24"/>
          <w:highlight w:val="none"/>
        </w:rPr>
        <w:t>，委托的招标代理单位为</w:t>
      </w:r>
      <w:r>
        <w:rPr>
          <w:rFonts w:hint="eastAsia" w:ascii="宋体" w:hAnsi="宋体" w:cs="宋体"/>
          <w:color w:val="auto"/>
          <w:sz w:val="24"/>
          <w:highlight w:val="none"/>
          <w:u w:val="single"/>
          <w:lang w:eastAsia="zh-CN"/>
        </w:rPr>
        <w:t>福建立信招投标管理有限公司</w:t>
      </w:r>
      <w:r>
        <w:rPr>
          <w:rFonts w:hint="eastAsia" w:ascii="宋体" w:hAnsi="宋体" w:eastAsia="宋体" w:cs="宋体"/>
          <w:color w:val="auto"/>
          <w:sz w:val="24"/>
          <w:highlight w:val="none"/>
        </w:rPr>
        <w:t>。项目已具备招标条件，</w:t>
      </w:r>
      <w:r>
        <w:rPr>
          <w:rFonts w:hint="eastAsia" w:ascii="宋体" w:hAnsi="Times New Roman" w:eastAsia="宋体" w:cs="Times New Roman"/>
          <w:color w:val="auto"/>
          <w:sz w:val="24"/>
          <w:highlight w:val="none"/>
          <w:shd w:val="clear" w:color="auto" w:fill="auto"/>
        </w:rPr>
        <w:t>现邀请</w:t>
      </w:r>
      <w:r>
        <w:rPr>
          <w:rFonts w:hint="eastAsia" w:ascii="宋体" w:hAnsi="Times New Roman" w:eastAsia="宋体" w:cs="Times New Roman"/>
          <w:color w:val="auto"/>
          <w:sz w:val="24"/>
          <w:highlight w:val="none"/>
          <w:u w:val="single"/>
          <w:shd w:val="clear" w:color="auto" w:fill="auto"/>
          <w:lang w:val="en-US" w:eastAsia="zh-CN"/>
        </w:rPr>
        <w:t xml:space="preserve"> 福建南剑建设有限公司</w:t>
      </w:r>
      <w:r>
        <w:rPr>
          <w:rFonts w:hint="eastAsia" w:ascii="宋体" w:cs="Times New Roman"/>
          <w:color w:val="auto"/>
          <w:sz w:val="24"/>
          <w:highlight w:val="none"/>
          <w:u w:val="single"/>
          <w:shd w:val="clear" w:color="auto" w:fill="auto"/>
          <w:lang w:val="en-US" w:eastAsia="zh-CN"/>
        </w:rPr>
        <w:t>、</w:t>
      </w:r>
      <w:r>
        <w:rPr>
          <w:rFonts w:hint="eastAsia" w:ascii="宋体" w:hAnsi="Times New Roman" w:eastAsia="宋体" w:cs="Times New Roman"/>
          <w:color w:val="auto"/>
          <w:sz w:val="24"/>
          <w:highlight w:val="none"/>
          <w:u w:val="single"/>
          <w:shd w:val="clear" w:color="auto" w:fill="auto"/>
          <w:lang w:val="en-US" w:eastAsia="zh-CN"/>
        </w:rPr>
        <w:t>福建金逸建</w:t>
      </w:r>
      <w:r>
        <w:rPr>
          <w:rFonts w:hint="eastAsia" w:ascii="宋体" w:cs="Times New Roman"/>
          <w:color w:val="auto"/>
          <w:sz w:val="24"/>
          <w:highlight w:val="none"/>
          <w:u w:val="single"/>
          <w:shd w:val="clear" w:color="auto" w:fill="auto"/>
          <w:lang w:val="en-US" w:eastAsia="zh-CN"/>
        </w:rPr>
        <w:t>设</w:t>
      </w:r>
      <w:r>
        <w:rPr>
          <w:rFonts w:hint="eastAsia" w:ascii="宋体" w:hAnsi="Times New Roman" w:eastAsia="宋体" w:cs="Times New Roman"/>
          <w:color w:val="auto"/>
          <w:sz w:val="24"/>
          <w:highlight w:val="none"/>
          <w:u w:val="single"/>
          <w:shd w:val="clear" w:color="auto" w:fill="auto"/>
          <w:lang w:val="en-US" w:eastAsia="zh-CN"/>
        </w:rPr>
        <w:t>发展有限公司</w:t>
      </w:r>
      <w:r>
        <w:rPr>
          <w:rFonts w:hint="eastAsia" w:ascii="宋体" w:cs="Times New Roman"/>
          <w:color w:val="auto"/>
          <w:sz w:val="24"/>
          <w:highlight w:val="none"/>
          <w:u w:val="single"/>
          <w:shd w:val="clear" w:color="auto" w:fill="auto"/>
          <w:lang w:val="en-US" w:eastAsia="zh-CN"/>
        </w:rPr>
        <w:t>、</w:t>
      </w:r>
      <w:r>
        <w:rPr>
          <w:rFonts w:hint="eastAsia" w:ascii="宋体" w:hAnsi="Times New Roman" w:eastAsia="宋体" w:cs="Times New Roman"/>
          <w:color w:val="auto"/>
          <w:sz w:val="24"/>
          <w:highlight w:val="none"/>
          <w:u w:val="single"/>
          <w:shd w:val="clear" w:color="auto" w:fill="auto"/>
          <w:lang w:val="en-US" w:eastAsia="zh-CN"/>
        </w:rPr>
        <w:t>考工建设有限公司</w:t>
      </w:r>
      <w:r>
        <w:rPr>
          <w:rFonts w:hint="eastAsia" w:ascii="宋体" w:cs="Times New Roman"/>
          <w:color w:val="auto"/>
          <w:sz w:val="24"/>
          <w:highlight w:val="none"/>
          <w:u w:val="single"/>
          <w:shd w:val="clear" w:color="auto" w:fill="auto"/>
          <w:lang w:val="en-US" w:eastAsia="zh-CN"/>
        </w:rPr>
        <w:t>、</w:t>
      </w:r>
      <w:r>
        <w:rPr>
          <w:rFonts w:hint="eastAsia" w:ascii="宋体" w:hAnsi="Times New Roman" w:eastAsia="宋体" w:cs="Times New Roman"/>
          <w:color w:val="auto"/>
          <w:sz w:val="24"/>
          <w:highlight w:val="none"/>
          <w:u w:val="single"/>
          <w:shd w:val="clear" w:color="auto" w:fill="auto"/>
          <w:lang w:val="en-US" w:eastAsia="zh-CN"/>
        </w:rPr>
        <w:t>福建南鲁建设工程有限公司</w:t>
      </w:r>
      <w:r>
        <w:rPr>
          <w:rFonts w:hint="eastAsia" w:ascii="宋体" w:cs="Times New Roman"/>
          <w:color w:val="auto"/>
          <w:sz w:val="24"/>
          <w:highlight w:val="none"/>
          <w:u w:val="single"/>
          <w:shd w:val="clear" w:color="auto" w:fill="auto"/>
          <w:lang w:val="en-US" w:eastAsia="zh-CN"/>
        </w:rPr>
        <w:t>、</w:t>
      </w:r>
      <w:r>
        <w:rPr>
          <w:rFonts w:hint="eastAsia" w:ascii="宋体" w:hAnsi="Times New Roman" w:eastAsia="宋体" w:cs="Times New Roman"/>
          <w:color w:val="auto"/>
          <w:sz w:val="24"/>
          <w:highlight w:val="none"/>
          <w:u w:val="single"/>
          <w:shd w:val="clear" w:color="auto" w:fill="auto"/>
          <w:lang w:val="en-US" w:eastAsia="zh-CN"/>
        </w:rPr>
        <w:t>福建省群威建设集团有限公司</w:t>
      </w:r>
      <w:r>
        <w:rPr>
          <w:rFonts w:hint="eastAsia" w:ascii="宋体" w:cs="Times New Roman"/>
          <w:color w:val="auto"/>
          <w:sz w:val="24"/>
          <w:highlight w:val="none"/>
          <w:u w:val="single"/>
          <w:shd w:val="clear" w:color="auto" w:fill="auto"/>
          <w:lang w:val="en-US" w:eastAsia="zh-CN"/>
        </w:rPr>
        <w:t>、</w:t>
      </w:r>
      <w:r>
        <w:rPr>
          <w:rFonts w:hint="eastAsia" w:ascii="宋体" w:hAnsi="Times New Roman" w:eastAsia="宋体" w:cs="Times New Roman"/>
          <w:color w:val="auto"/>
          <w:sz w:val="24"/>
          <w:highlight w:val="none"/>
          <w:u w:val="single"/>
          <w:shd w:val="clear" w:color="auto" w:fill="auto"/>
          <w:lang w:val="en-US" w:eastAsia="zh-CN"/>
        </w:rPr>
        <w:t xml:space="preserve">福建宏涛工程咨询有限公司 </w:t>
      </w:r>
      <w:r>
        <w:rPr>
          <w:rFonts w:hint="eastAsia" w:ascii="宋体" w:cs="Times New Roman"/>
          <w:color w:val="auto"/>
          <w:sz w:val="24"/>
          <w:highlight w:val="none"/>
          <w:shd w:val="clear" w:color="auto" w:fill="auto"/>
          <w:lang w:val="en-US" w:eastAsia="zh-CN"/>
        </w:rPr>
        <w:t>6</w:t>
      </w:r>
      <w:r>
        <w:rPr>
          <w:rFonts w:hint="eastAsia" w:ascii="宋体" w:hAnsi="Times New Roman" w:eastAsia="宋体" w:cs="Times New Roman"/>
          <w:color w:val="auto"/>
          <w:sz w:val="24"/>
          <w:highlight w:val="none"/>
          <w:shd w:val="clear" w:color="auto" w:fill="auto"/>
        </w:rPr>
        <w:t>家单位参加本招标项目施工投标</w:t>
      </w:r>
      <w:r>
        <w:rPr>
          <w:rFonts w:hint="eastAsia" w:ascii="宋体" w:hAnsi="宋体" w:eastAsia="宋体" w:cs="宋体"/>
          <w:color w:val="auto"/>
          <w:sz w:val="24"/>
          <w:highlight w:val="none"/>
        </w:rPr>
        <w:t>。</w:t>
      </w:r>
    </w:p>
    <w:p w14:paraId="4CFD835E">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2.项目概况和招标范围</w:t>
      </w:r>
    </w:p>
    <w:p w14:paraId="5FAA06AE">
      <w:pPr>
        <w:keepNext w:val="0"/>
        <w:keepLines w:val="0"/>
        <w:pageBreakBefore w:val="0"/>
        <w:widowControl/>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rPr>
        <w:t>项目地点</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u w:val="single"/>
          <w:lang w:eastAsia="zh-CN"/>
        </w:rPr>
        <w:t>莆田市湄洲岛</w:t>
      </w:r>
      <w:r>
        <w:rPr>
          <w:rFonts w:hint="eastAsia" w:ascii="宋体" w:hAnsi="宋体" w:eastAsia="宋体" w:cs="宋体"/>
          <w:color w:val="auto"/>
          <w:sz w:val="24"/>
          <w:highlight w:val="none"/>
          <w:u w:val="none"/>
          <w:lang w:eastAsia="zh-CN"/>
        </w:rPr>
        <w:t>；</w:t>
      </w:r>
    </w:p>
    <w:p w14:paraId="3BEF270C">
      <w:pPr>
        <w:keepNext w:val="0"/>
        <w:keepLines w:val="0"/>
        <w:pageBreakBefore w:val="0"/>
        <w:widowControl/>
        <w:kinsoku/>
        <w:wordWrap w:val="0"/>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项目规模：</w:t>
      </w:r>
      <w:r>
        <w:rPr>
          <w:rFonts w:hint="eastAsia" w:ascii="宋体" w:hAnsi="宋体" w:eastAsia="宋体" w:cs="宋体"/>
          <w:color w:val="auto"/>
          <w:sz w:val="24"/>
          <w:highlight w:val="none"/>
          <w:u w:val="single"/>
          <w:lang w:val="en-US" w:eastAsia="zh-CN"/>
        </w:rPr>
        <w:t>约</w:t>
      </w:r>
      <w:r>
        <w:rPr>
          <w:rFonts w:hint="eastAsia" w:ascii="宋体" w:hAnsi="宋体" w:cs="宋体"/>
          <w:color w:val="auto"/>
          <w:sz w:val="24"/>
          <w:highlight w:val="none"/>
          <w:u w:val="single"/>
          <w:lang w:val="en-US" w:eastAsia="zh-CN"/>
        </w:rPr>
        <w:t>399</w:t>
      </w:r>
      <w:r>
        <w:rPr>
          <w:rFonts w:hint="eastAsia" w:ascii="宋体" w:hAnsi="宋体" w:eastAsia="宋体" w:cs="宋体"/>
          <w:color w:val="auto"/>
          <w:sz w:val="24"/>
          <w:highlight w:val="none"/>
          <w:u w:val="single"/>
          <w:lang w:val="en-US" w:eastAsia="zh-CN"/>
        </w:rPr>
        <w:t>万元</w:t>
      </w:r>
      <w:r>
        <w:rPr>
          <w:rFonts w:hint="eastAsia" w:ascii="宋体" w:hAnsi="宋体" w:eastAsia="宋体" w:cs="Times New Roman"/>
          <w:color w:val="auto"/>
          <w:sz w:val="24"/>
          <w:highlight w:val="none"/>
        </w:rPr>
        <w:t>；</w:t>
      </w:r>
      <w:r>
        <w:rPr>
          <w:rFonts w:hint="eastAsia" w:ascii="宋体" w:hAnsi="宋体" w:eastAsia="宋体" w:cs="宋体"/>
          <w:color w:val="auto"/>
          <w:sz w:val="24"/>
          <w:highlight w:val="none"/>
        </w:rPr>
        <w:t xml:space="preserve">    </w:t>
      </w:r>
    </w:p>
    <w:p w14:paraId="45B6E03E">
      <w:pPr>
        <w:keepNext w:val="0"/>
        <w:keepLines w:val="0"/>
        <w:pageBreakBefore w:val="0"/>
        <w:widowControl/>
        <w:kinsoku/>
        <w:wordWrap w:val="0"/>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招标范围：</w:t>
      </w:r>
      <w:bookmarkStart w:id="2" w:name="EB83099d41afc54939b26b8286ed729084"/>
      <w:r>
        <w:rPr>
          <w:rFonts w:hint="eastAsia" w:ascii="宋体" w:hAnsi="宋体" w:eastAsia="宋体" w:cs="宋体"/>
          <w:color w:val="auto"/>
          <w:sz w:val="24"/>
          <w:highlight w:val="none"/>
          <w:u w:val="single"/>
        </w:rPr>
        <w:t>具体按施工图纸，不列入招标范围的详预算编制说明</w:t>
      </w:r>
      <w:bookmarkEnd w:id="2"/>
      <w:r>
        <w:rPr>
          <w:rFonts w:hint="eastAsia" w:ascii="宋体" w:hAnsi="宋体" w:eastAsia="宋体" w:cs="Times New Roman"/>
          <w:color w:val="auto"/>
          <w:sz w:val="24"/>
          <w:highlight w:val="none"/>
        </w:rPr>
        <w:t>；</w:t>
      </w:r>
    </w:p>
    <w:p w14:paraId="27725233">
      <w:pPr>
        <w:keepNext w:val="0"/>
        <w:keepLines w:val="0"/>
        <w:pageBreakBefore w:val="0"/>
        <w:widowControl/>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工期要求：</w:t>
      </w:r>
      <w:r>
        <w:rPr>
          <w:rFonts w:hint="eastAsia" w:ascii="宋体" w:hAnsi="宋体" w:cs="宋体"/>
          <w:color w:val="auto"/>
          <w:sz w:val="24"/>
          <w:highlight w:val="none"/>
          <w:u w:val="single"/>
          <w:lang w:val="en-US" w:eastAsia="zh-CN"/>
        </w:rPr>
        <w:t xml:space="preserve"> 75 </w:t>
      </w:r>
      <w:r>
        <w:rPr>
          <w:rFonts w:hint="eastAsia" w:ascii="宋体" w:hAnsi="宋体" w:eastAsia="宋体" w:cs="宋体"/>
          <w:color w:val="auto"/>
          <w:sz w:val="24"/>
          <w:highlight w:val="none"/>
        </w:rPr>
        <w:t>个日历天；</w:t>
      </w:r>
    </w:p>
    <w:p w14:paraId="303A3C52">
      <w:pPr>
        <w:keepNext w:val="0"/>
        <w:keepLines w:val="0"/>
        <w:pageBreakBefore w:val="0"/>
        <w:widowControl/>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质量要求：</w:t>
      </w:r>
      <w:r>
        <w:rPr>
          <w:rFonts w:hint="eastAsia" w:ascii="Times New Roman" w:hAnsi="Times New Roman" w:eastAsia="宋体" w:cs="Times New Roman"/>
          <w:color w:val="auto"/>
          <w:sz w:val="24"/>
          <w:highlight w:val="none"/>
          <w:u w:val="single"/>
        </w:rPr>
        <w:t>合格</w:t>
      </w:r>
      <w:r>
        <w:rPr>
          <w:rFonts w:hint="eastAsia" w:ascii="宋体" w:hAnsi="宋体" w:eastAsia="宋体" w:cs="宋体"/>
          <w:color w:val="auto"/>
          <w:sz w:val="24"/>
          <w:highlight w:val="none"/>
        </w:rPr>
        <w:t>。</w:t>
      </w:r>
    </w:p>
    <w:p w14:paraId="1D394079">
      <w:pPr>
        <w:keepNext w:val="0"/>
        <w:keepLines w:val="0"/>
        <w:pageBreakBefore w:val="0"/>
        <w:widowControl/>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3.投标人资格要求及审查方式</w:t>
      </w:r>
    </w:p>
    <w:p w14:paraId="142EA22F">
      <w:pPr>
        <w:keepNext w:val="0"/>
        <w:keepLines w:val="0"/>
        <w:pageBreakBefore w:val="0"/>
        <w:widowControl/>
        <w:numPr>
          <w:ilvl w:val="1"/>
          <w:numId w:val="0"/>
        </w:numPr>
        <w:tabs>
          <w:tab w:val="left" w:pos="510"/>
          <w:tab w:val="left" w:pos="900"/>
          <w:tab w:val="left" w:pos="1100"/>
        </w:tabs>
        <w:kinsoku/>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i w:val="0"/>
          <w:color w:val="auto"/>
          <w:kern w:val="2"/>
          <w:sz w:val="24"/>
          <w:szCs w:val="24"/>
          <w:highlight w:val="none"/>
          <w:lang w:val="en-US" w:eastAsia="zh-CN" w:bidi="ar-SA"/>
        </w:rPr>
        <w:t>1)</w:t>
      </w:r>
      <w:r>
        <w:rPr>
          <w:rFonts w:hint="eastAsia" w:ascii="宋体" w:hAnsi="宋体" w:eastAsia="宋体" w:cs="宋体"/>
          <w:bCs/>
          <w:color w:val="auto"/>
          <w:sz w:val="24"/>
          <w:highlight w:val="none"/>
        </w:rPr>
        <w:t>本招标项</w:t>
      </w:r>
      <w:r>
        <w:rPr>
          <w:rFonts w:hint="eastAsia" w:ascii="宋体" w:hAnsi="宋体" w:eastAsia="宋体" w:cs="宋体"/>
          <w:color w:val="auto"/>
          <w:sz w:val="24"/>
          <w:highlight w:val="none"/>
        </w:rPr>
        <w:t>目要求投标人</w:t>
      </w:r>
      <w:r>
        <w:rPr>
          <w:rFonts w:hint="eastAsia" w:ascii="宋体" w:hAnsi="宋体" w:eastAsia="宋体" w:cs="Times New Roman"/>
          <w:color w:val="auto"/>
          <w:sz w:val="24"/>
          <w:highlight w:val="none"/>
        </w:rPr>
        <w:t>具备</w:t>
      </w:r>
      <w:r>
        <w:rPr>
          <w:rFonts w:hint="eastAsia" w:ascii="宋体" w:hAnsi="宋体" w:eastAsia="宋体" w:cs="Times New Roman"/>
          <w:bCs/>
          <w:color w:val="auto"/>
          <w:sz w:val="24"/>
          <w:highlight w:val="none"/>
          <w:u w:val="single"/>
        </w:rPr>
        <w:t>水利工程施工总承包三级及以上</w:t>
      </w:r>
      <w:r>
        <w:rPr>
          <w:rFonts w:hint="eastAsia" w:ascii="宋体" w:hAnsi="宋体" w:eastAsia="宋体" w:cs="Times New Roman"/>
          <w:color w:val="auto"/>
          <w:sz w:val="24"/>
          <w:highlight w:val="none"/>
        </w:rPr>
        <w:t>资质和有效的《施工企业安全生产许可证》；</w:t>
      </w:r>
    </w:p>
    <w:p w14:paraId="393AE904">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2）投标人拟担任本招标项目的项目经理应具备有效的不低于</w:t>
      </w:r>
      <w:r>
        <w:rPr>
          <w:rFonts w:hint="eastAsia" w:ascii="宋体" w:hAnsi="宋体" w:eastAsia="宋体" w:cs="Times New Roman"/>
          <w:color w:val="auto"/>
          <w:sz w:val="24"/>
          <w:highlight w:val="none"/>
          <w:u w:val="single"/>
        </w:rPr>
        <w:t>二</w:t>
      </w:r>
      <w:r>
        <w:rPr>
          <w:rFonts w:hint="eastAsia" w:ascii="宋体" w:hAnsi="宋体" w:eastAsia="宋体" w:cs="Times New Roman"/>
          <w:color w:val="auto"/>
          <w:sz w:val="24"/>
          <w:highlight w:val="none"/>
        </w:rPr>
        <w:t>级</w:t>
      </w:r>
      <w:r>
        <w:rPr>
          <w:rFonts w:hint="eastAsia" w:ascii="宋体" w:hAnsi="宋体" w:eastAsia="宋体" w:cs="Times New Roman"/>
          <w:color w:val="auto"/>
          <w:sz w:val="24"/>
          <w:highlight w:val="none"/>
          <w:u w:val="single"/>
        </w:rPr>
        <w:t xml:space="preserve"> 水利水电</w:t>
      </w:r>
      <w:r>
        <w:rPr>
          <w:rFonts w:hint="eastAsia" w:ascii="宋体" w:hAnsi="宋体" w:eastAsia="宋体" w:cs="Times New Roman"/>
          <w:color w:val="auto"/>
          <w:sz w:val="24"/>
          <w:highlight w:val="none"/>
        </w:rPr>
        <w:t>(专业)注册建造师执业资格，并持有水行政主管部门颁发的有效安全考核合格证书（B证）；实行施工到位承诺制（投标承诺函），更换赔偿义务（合同条款），被更换项目经理6个月内不得在福建省范围内参加其他工程投标，若参加其他工程投标中标，即取消中标资格且记入不良记录；</w:t>
      </w:r>
    </w:p>
    <w:p w14:paraId="062AAB61">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3）本招标项目</w:t>
      </w:r>
      <w:r>
        <w:rPr>
          <w:rFonts w:hint="eastAsia" w:ascii="宋体" w:hAnsi="宋体" w:eastAsia="宋体" w:cs="Times New Roman"/>
          <w:color w:val="auto"/>
          <w:sz w:val="24"/>
          <w:highlight w:val="none"/>
          <w:u w:val="single"/>
        </w:rPr>
        <w:t xml:space="preserve"> 不 </w:t>
      </w:r>
      <w:r>
        <w:rPr>
          <w:rFonts w:hint="eastAsia" w:ascii="宋体" w:hAnsi="宋体" w:eastAsia="宋体" w:cs="Times New Roman"/>
          <w:color w:val="auto"/>
          <w:sz w:val="24"/>
          <w:highlight w:val="none"/>
        </w:rPr>
        <w:t>接受联合体投标；</w:t>
      </w:r>
    </w:p>
    <w:p w14:paraId="241C045E">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4）本招标项目招标人采用资格后审的方式对投标人进行资格审查。</w:t>
      </w:r>
    </w:p>
    <w:p w14:paraId="5C0AF5B3">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4.招标文件的获取</w:t>
      </w:r>
    </w:p>
    <w:p w14:paraId="21E19426">
      <w:pPr>
        <w:keepNext w:val="0"/>
        <w:keepLines w:val="0"/>
        <w:pageBreakBefore w:val="0"/>
        <w:widowControl/>
        <w:tabs>
          <w:tab w:val="left" w:pos="900"/>
          <w:tab w:val="left" w:pos="1100"/>
        </w:tabs>
        <w:kinsoku/>
        <w:wordWrap w:val="0"/>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招标人自</w:t>
      </w:r>
      <w:r>
        <w:rPr>
          <w:rFonts w:hint="eastAsia" w:ascii="宋体" w:hAnsi="宋体" w:eastAsia="宋体" w:cs="宋体"/>
          <w:b w:val="0"/>
          <w:bCs w:val="0"/>
          <w:color w:val="auto"/>
          <w:sz w:val="24"/>
          <w:highlight w:val="none"/>
          <w:u w:val="single"/>
          <w:lang w:val="en-US" w:eastAsia="zh-CN"/>
        </w:rPr>
        <w:t>2025</w:t>
      </w:r>
      <w:r>
        <w:rPr>
          <w:rFonts w:hint="eastAsia" w:ascii="宋体" w:hAnsi="宋体" w:eastAsia="宋体" w:cs="宋体"/>
          <w:b w:val="0"/>
          <w:bCs w:val="0"/>
          <w:color w:val="auto"/>
          <w:sz w:val="24"/>
          <w:highlight w:val="none"/>
        </w:rPr>
        <w:t>年</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lang w:val="en-US" w:eastAsia="zh-CN"/>
        </w:rPr>
        <w:t>11</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月</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cs="宋体"/>
          <w:b w:val="0"/>
          <w:bCs w:val="0"/>
          <w:color w:val="auto"/>
          <w:sz w:val="24"/>
          <w:highlight w:val="none"/>
          <w:u w:val="single"/>
          <w:lang w:val="en-US" w:eastAsia="zh-CN"/>
        </w:rPr>
        <w:t>05</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rPr>
        <w:t>日</w:t>
      </w:r>
      <w:r>
        <w:rPr>
          <w:rFonts w:hint="eastAsia" w:ascii="宋体" w:hAnsi="宋体" w:eastAsia="宋体" w:cs="宋体"/>
          <w:color w:val="auto"/>
          <w:sz w:val="24"/>
          <w:highlight w:val="none"/>
        </w:rPr>
        <w:t>起</w:t>
      </w:r>
      <w:r>
        <w:rPr>
          <w:rFonts w:hint="eastAsia" w:ascii="宋体" w:hAnsi="宋体" w:cs="宋体"/>
          <w:color w:val="auto"/>
          <w:sz w:val="24"/>
          <w:highlight w:val="none"/>
          <w:lang w:val="en-US" w:eastAsia="zh-CN"/>
        </w:rPr>
        <w:t>在</w:t>
      </w:r>
      <w:r>
        <w:rPr>
          <w:rFonts w:hint="eastAsia" w:ascii="宋体" w:hAnsi="宋体" w:eastAsia="宋体" w:cs="Times New Roman"/>
          <w:color w:val="auto"/>
          <w:sz w:val="24"/>
          <w:highlight w:val="none"/>
          <w:shd w:val="clear" w:color="auto" w:fill="auto"/>
          <w:lang w:eastAsia="zh-CN"/>
        </w:rPr>
        <w:t>新点电子交易平台-福建专区-第三方平台（https://fujian.etrading.cn/）、莆田市湄洲岛旅游建设集团有限公司网（http://www.mzdljjt.com/zh）、</w:t>
      </w:r>
      <w:r>
        <w:rPr>
          <w:rFonts w:hint="eastAsia" w:ascii="宋体" w:hAnsi="宋体" w:eastAsia="宋体" w:cs="宋体"/>
          <w:color w:val="auto"/>
          <w:sz w:val="24"/>
          <w:highlight w:val="none"/>
          <w:lang w:eastAsia="zh-CN"/>
        </w:rPr>
        <w:t>莆田市湄洲岛国家旅游度假区管委会</w:t>
      </w:r>
      <w:r>
        <w:rPr>
          <w:rFonts w:hint="eastAsia" w:ascii="宋体" w:hAnsi="宋体" w:eastAsia="宋体" w:cs="宋体"/>
          <w:color w:val="auto"/>
          <w:sz w:val="24"/>
          <w:highlight w:val="none"/>
          <w:lang w:val="en-US" w:eastAsia="zh-CN"/>
        </w:rPr>
        <w:t>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http://mzd.putian.gov.cn/</w:t>
      </w:r>
      <w:r>
        <w:rPr>
          <w:rFonts w:hint="eastAsia" w:ascii="宋体" w:hAnsi="宋体" w:eastAsia="宋体" w:cs="宋体"/>
          <w:color w:val="auto"/>
          <w:sz w:val="24"/>
          <w:highlight w:val="none"/>
        </w:rPr>
        <w:t>)</w:t>
      </w:r>
      <w:r>
        <w:rPr>
          <w:rFonts w:hint="eastAsia" w:ascii="宋体" w:hAnsi="宋体" w:eastAsia="宋体" w:cs="Times New Roman"/>
          <w:color w:val="auto"/>
          <w:sz w:val="24"/>
          <w:highlight w:val="none"/>
          <w:shd w:val="clear" w:color="auto" w:fill="auto"/>
        </w:rPr>
        <w:t>上发布招标</w:t>
      </w:r>
      <w:r>
        <w:rPr>
          <w:rFonts w:hint="eastAsia" w:ascii="宋体" w:hAnsi="宋体" w:eastAsia="宋体" w:cs="Times New Roman"/>
          <w:color w:val="auto"/>
          <w:sz w:val="24"/>
          <w:highlight w:val="none"/>
          <w:shd w:val="clear" w:color="auto" w:fill="auto"/>
          <w:lang w:val="en-US" w:eastAsia="zh-CN"/>
        </w:rPr>
        <w:t>公告</w:t>
      </w:r>
      <w:r>
        <w:rPr>
          <w:rFonts w:hint="eastAsia" w:ascii="宋体" w:hAnsi="宋体" w:eastAsia="宋体" w:cs="Times New Roman"/>
          <w:color w:val="auto"/>
          <w:sz w:val="24"/>
          <w:highlight w:val="none"/>
          <w:shd w:val="clear" w:color="auto" w:fill="auto"/>
        </w:rPr>
        <w:t>，投标人可登录</w:t>
      </w:r>
      <w:r>
        <w:rPr>
          <w:rFonts w:hint="eastAsia" w:ascii="宋体" w:hAnsi="宋体" w:eastAsia="宋体" w:cs="宋体"/>
          <w:color w:val="auto"/>
          <w:sz w:val="24"/>
          <w:highlight w:val="none"/>
          <w:lang w:eastAsia="zh-CN"/>
        </w:rPr>
        <w:t>莆田市湄洲岛国家旅游度假区管委会</w:t>
      </w:r>
      <w:r>
        <w:rPr>
          <w:rFonts w:hint="eastAsia" w:ascii="宋体" w:hAnsi="宋体" w:eastAsia="宋体" w:cs="Times New Roman"/>
          <w:color w:val="auto"/>
          <w:sz w:val="24"/>
          <w:highlight w:val="none"/>
          <w:shd w:val="clear" w:color="auto" w:fill="auto"/>
          <w:lang w:eastAsia="zh-CN"/>
        </w:rPr>
        <w:t>网</w:t>
      </w:r>
      <w:r>
        <w:rPr>
          <w:rFonts w:hint="eastAsia" w:ascii="宋体" w:hAnsi="宋体" w:eastAsia="宋体" w:cs="Times New Roman"/>
          <w:color w:val="auto"/>
          <w:sz w:val="24"/>
          <w:highlight w:val="none"/>
          <w:shd w:val="clear" w:color="auto" w:fill="auto"/>
        </w:rPr>
        <w:t xml:space="preserve">上自行下载招标文件。 </w:t>
      </w:r>
    </w:p>
    <w:p w14:paraId="7CA29F4D">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5.投标文件的递交</w:t>
      </w:r>
    </w:p>
    <w:p w14:paraId="021B18F5">
      <w:pPr>
        <w:widowControl/>
        <w:tabs>
          <w:tab w:val="left" w:pos="900"/>
          <w:tab w:val="left" w:pos="1100"/>
        </w:tabs>
        <w:spacing w:line="440" w:lineRule="exact"/>
        <w:ind w:firstLine="480" w:firstLineChars="200"/>
        <w:jc w:val="left"/>
        <w:rPr>
          <w:rFonts w:hint="eastAsia" w:ascii="宋体" w:hAnsi="宋体" w:eastAsia="宋体" w:cs="宋体"/>
          <w:i/>
          <w:color w:val="auto"/>
          <w:sz w:val="24"/>
          <w:highlight w:val="none"/>
          <w:shd w:val="clear" w:color="auto" w:fill="auto"/>
        </w:rPr>
      </w:pPr>
      <w:r>
        <w:rPr>
          <w:rFonts w:hint="eastAsia" w:ascii="宋体" w:hAnsi="宋体" w:eastAsia="宋体" w:cs="宋体"/>
          <w:color w:val="auto"/>
          <w:sz w:val="24"/>
          <w:highlight w:val="none"/>
        </w:rPr>
        <w:t>投标文件递交的截止时间(投标截止时间)：</w:t>
      </w:r>
      <w:r>
        <w:rPr>
          <w:rFonts w:hint="eastAsia" w:ascii="宋体" w:hAnsi="宋体" w:eastAsia="宋体" w:cs="宋体"/>
          <w:b/>
          <w:bCs/>
          <w:color w:val="auto"/>
          <w:sz w:val="24"/>
          <w:highlight w:val="none"/>
          <w:u w:val="none"/>
        </w:rPr>
        <w:t>2</w:t>
      </w:r>
      <w:r>
        <w:rPr>
          <w:rFonts w:hint="eastAsia" w:ascii="宋体" w:hAnsi="宋体" w:cs="宋体"/>
          <w:b/>
          <w:bCs/>
          <w:color w:val="auto"/>
          <w:sz w:val="24"/>
          <w:highlight w:val="none"/>
          <w:u w:val="none"/>
          <w:lang w:val="en-US" w:eastAsia="zh-CN"/>
        </w:rPr>
        <w:t>025</w:t>
      </w:r>
      <w:r>
        <w:rPr>
          <w:rFonts w:hint="eastAsia" w:ascii="宋体" w:hAnsi="宋体" w:eastAsia="宋体" w:cs="宋体"/>
          <w:b/>
          <w:bCs/>
          <w:color w:val="auto"/>
          <w:sz w:val="24"/>
          <w:highlight w:val="none"/>
          <w:u w:val="none"/>
        </w:rPr>
        <w:t>年</w:t>
      </w:r>
      <w:r>
        <w:rPr>
          <w:rFonts w:hint="eastAsia" w:ascii="宋体" w:hAnsi="宋体" w:cs="宋体"/>
          <w:b/>
          <w:bCs/>
          <w:color w:val="auto"/>
          <w:sz w:val="24"/>
          <w:highlight w:val="none"/>
          <w:u w:val="none"/>
          <w:lang w:val="en-US" w:eastAsia="zh-CN"/>
        </w:rPr>
        <w:t>11</w:t>
      </w:r>
      <w:r>
        <w:rPr>
          <w:rFonts w:hint="eastAsia" w:ascii="宋体" w:hAnsi="宋体" w:eastAsia="宋体" w:cs="宋体"/>
          <w:b/>
          <w:bCs/>
          <w:color w:val="auto"/>
          <w:sz w:val="24"/>
          <w:highlight w:val="none"/>
          <w:u w:val="none"/>
        </w:rPr>
        <w:t>月</w:t>
      </w:r>
      <w:r>
        <w:rPr>
          <w:rFonts w:hint="eastAsia" w:ascii="宋体" w:hAnsi="宋体" w:cs="宋体"/>
          <w:b/>
          <w:bCs/>
          <w:color w:val="auto"/>
          <w:sz w:val="24"/>
          <w:highlight w:val="none"/>
          <w:u w:val="none"/>
          <w:lang w:val="en-US" w:eastAsia="zh-CN"/>
        </w:rPr>
        <w:t>17</w:t>
      </w:r>
      <w:r>
        <w:rPr>
          <w:rFonts w:hint="eastAsia" w:ascii="宋体" w:hAnsi="宋体" w:eastAsia="宋体" w:cs="宋体"/>
          <w:b/>
          <w:bCs/>
          <w:color w:val="auto"/>
          <w:sz w:val="24"/>
          <w:highlight w:val="none"/>
          <w:u w:val="none"/>
        </w:rPr>
        <w:t>日</w:t>
      </w:r>
      <w:r>
        <w:rPr>
          <w:rFonts w:hint="eastAsia" w:ascii="宋体" w:hAnsi="宋体" w:cs="宋体"/>
          <w:b/>
          <w:bCs/>
          <w:color w:val="auto"/>
          <w:sz w:val="24"/>
          <w:highlight w:val="none"/>
          <w:u w:val="none"/>
          <w:lang w:val="en-US" w:eastAsia="zh-CN"/>
        </w:rPr>
        <w:t>8</w:t>
      </w:r>
      <w:r>
        <w:rPr>
          <w:rFonts w:hint="eastAsia" w:ascii="宋体" w:hAnsi="宋体" w:eastAsia="宋体" w:cs="宋体"/>
          <w:b/>
          <w:bCs/>
          <w:color w:val="auto"/>
          <w:sz w:val="24"/>
          <w:highlight w:val="none"/>
          <w:u w:val="none"/>
        </w:rPr>
        <w:t>时</w:t>
      </w:r>
      <w:r>
        <w:rPr>
          <w:rFonts w:hint="eastAsia" w:ascii="宋体" w:hAnsi="宋体" w:eastAsia="宋体" w:cs="宋体"/>
          <w:b/>
          <w:bCs/>
          <w:color w:val="auto"/>
          <w:sz w:val="24"/>
          <w:highlight w:val="none"/>
          <w:u w:val="none"/>
          <w:lang w:val="en-US" w:eastAsia="zh-CN"/>
        </w:rPr>
        <w:t>30</w:t>
      </w:r>
      <w:r>
        <w:rPr>
          <w:rFonts w:hint="eastAsia" w:ascii="宋体" w:hAnsi="宋体" w:eastAsia="宋体" w:cs="宋体"/>
          <w:b/>
          <w:bCs/>
          <w:color w:val="auto"/>
          <w:sz w:val="24"/>
          <w:highlight w:val="none"/>
          <w:u w:val="none"/>
        </w:rPr>
        <w:t>分</w:t>
      </w:r>
      <w:r>
        <w:rPr>
          <w:rFonts w:hint="eastAsia" w:ascii="宋体" w:hAnsi="宋体" w:cs="宋体"/>
          <w:color w:val="auto"/>
          <w:sz w:val="24"/>
          <w:highlight w:val="none"/>
          <w:u w:val="none"/>
          <w:lang w:eastAsia="zh-CN"/>
        </w:rPr>
        <w:t>，</w:t>
      </w:r>
      <w:r>
        <w:rPr>
          <w:rFonts w:hint="eastAsia" w:ascii="宋体" w:hAnsi="宋体" w:eastAsia="宋体" w:cs="宋体"/>
          <w:color w:val="auto"/>
          <w:kern w:val="0"/>
          <w:sz w:val="24"/>
          <w:highlight w:val="none"/>
          <w:shd w:val="clear" w:color="auto" w:fill="auto"/>
        </w:rPr>
        <w:t>提交地点为：</w:t>
      </w:r>
      <w:r>
        <w:rPr>
          <w:rFonts w:hint="eastAsia" w:ascii="宋体" w:hAnsi="宋体" w:eastAsia="宋体" w:cs="宋体"/>
          <w:color w:val="auto"/>
          <w:kern w:val="0"/>
          <w:sz w:val="24"/>
          <w:highlight w:val="none"/>
          <w:u w:val="single"/>
          <w:shd w:val="clear" w:color="auto" w:fill="auto"/>
          <w:lang w:eastAsia="zh-CN"/>
        </w:rPr>
        <w:t>福建省莆田市</w:t>
      </w:r>
      <w:r>
        <w:rPr>
          <w:rFonts w:hint="eastAsia" w:ascii="宋体" w:hAnsi="宋体" w:eastAsia="宋体" w:cs="宋体"/>
          <w:color w:val="auto"/>
          <w:kern w:val="0"/>
          <w:sz w:val="24"/>
          <w:highlight w:val="none"/>
          <w:u w:val="single"/>
          <w:shd w:val="clear" w:color="auto" w:fill="auto"/>
          <w:lang w:val="en-US" w:eastAsia="zh-CN"/>
        </w:rPr>
        <w:t>荔城</w:t>
      </w:r>
      <w:r>
        <w:rPr>
          <w:rFonts w:hint="eastAsia" w:ascii="宋体" w:hAnsi="宋体" w:eastAsia="宋体" w:cs="宋体"/>
          <w:color w:val="auto"/>
          <w:kern w:val="0"/>
          <w:sz w:val="24"/>
          <w:highlight w:val="none"/>
          <w:u w:val="single"/>
          <w:shd w:val="clear" w:color="auto" w:fill="auto"/>
          <w:lang w:eastAsia="zh-CN"/>
        </w:rPr>
        <w:t>区</w:t>
      </w:r>
      <w:r>
        <w:rPr>
          <w:rFonts w:hint="eastAsia" w:ascii="宋体" w:hAnsi="宋体" w:eastAsia="宋体" w:cs="宋体"/>
          <w:color w:val="auto"/>
          <w:kern w:val="0"/>
          <w:sz w:val="24"/>
          <w:highlight w:val="none"/>
          <w:u w:val="single"/>
          <w:shd w:val="clear" w:color="auto" w:fill="auto"/>
          <w:lang w:val="en-US" w:eastAsia="zh-CN"/>
        </w:rPr>
        <w:t>镇海街道丰美小区10号楼5层502室</w:t>
      </w:r>
      <w:r>
        <w:rPr>
          <w:rFonts w:hint="eastAsia" w:ascii="宋体" w:hAnsi="宋体" w:eastAsia="宋体" w:cs="宋体"/>
          <w:color w:val="auto"/>
          <w:kern w:val="0"/>
          <w:sz w:val="24"/>
          <w:highlight w:val="none"/>
          <w:shd w:val="clear" w:color="auto" w:fill="auto"/>
        </w:rPr>
        <w:t>。</w:t>
      </w:r>
    </w:p>
    <w:p w14:paraId="5866B9B9">
      <w:pPr>
        <w:widowControl/>
        <w:tabs>
          <w:tab w:val="left" w:pos="900"/>
          <w:tab w:val="left" w:pos="1100"/>
        </w:tabs>
        <w:wordWrap w:val="0"/>
        <w:spacing w:line="440" w:lineRule="exact"/>
        <w:ind w:firstLine="480" w:firstLineChars="200"/>
        <w:jc w:val="left"/>
        <w:rPr>
          <w:rFonts w:hint="eastAsia" w:ascii="宋体" w:hAnsi="宋体" w:eastAsia="宋体" w:cs="宋体"/>
          <w:color w:val="auto"/>
          <w:sz w:val="24"/>
          <w:highlight w:val="none"/>
          <w:u w:val="single"/>
        </w:rPr>
      </w:pPr>
      <w:r>
        <w:rPr>
          <w:rFonts w:hint="eastAsia" w:ascii="宋体" w:hAnsi="宋体" w:eastAsia="宋体" w:cs="Times New Roman"/>
          <w:color w:val="auto"/>
          <w:sz w:val="24"/>
          <w:highlight w:val="none"/>
          <w:shd w:val="clear" w:color="auto" w:fill="auto"/>
        </w:rPr>
        <w:t>逾期送达的或未送达指定地点的投标文件，招标人不予受理。</w:t>
      </w:r>
    </w:p>
    <w:p w14:paraId="42BB0DEF">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6.投标保证金的递交</w:t>
      </w:r>
    </w:p>
    <w:p w14:paraId="2AE1B12A">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本招标项目的投标保证金为</w:t>
      </w:r>
      <w:r>
        <w:rPr>
          <w:rFonts w:hint="eastAsia" w:ascii="宋体" w:hAnsi="宋体" w:eastAsia="宋体" w:cs="宋体"/>
          <w:b/>
          <w:bCs/>
          <w:i w:val="0"/>
          <w:iCs w:val="0"/>
          <w:color w:val="auto"/>
          <w:sz w:val="24"/>
          <w:highlight w:val="none"/>
          <w:u w:val="single"/>
          <w:lang w:val="en-US" w:eastAsia="zh-CN"/>
        </w:rPr>
        <w:t>人民币</w:t>
      </w:r>
      <w:r>
        <w:rPr>
          <w:rFonts w:hint="eastAsia" w:ascii="宋体" w:hAnsi="宋体" w:eastAsia="宋体" w:cs="宋体"/>
          <w:b/>
          <w:bCs/>
          <w:i w:val="0"/>
          <w:iCs w:val="0"/>
          <w:color w:val="auto"/>
          <w:sz w:val="24"/>
          <w:highlight w:val="none"/>
          <w:u w:val="single"/>
          <w:lang w:val="en-US" w:eastAsia="zh-CN"/>
        </w:rPr>
        <w:fldChar w:fldCharType="begin"/>
      </w:r>
      <w:r>
        <w:rPr>
          <w:rFonts w:hint="eastAsia" w:ascii="宋体" w:hAnsi="宋体" w:eastAsia="宋体" w:cs="宋体"/>
          <w:b/>
          <w:bCs/>
          <w:i w:val="0"/>
          <w:iCs w:val="0"/>
          <w:color w:val="auto"/>
          <w:sz w:val="24"/>
          <w:highlight w:val="none"/>
          <w:u w:val="single"/>
          <w:lang w:val="en-US" w:eastAsia="zh-CN"/>
        </w:rPr>
        <w:instrText xml:space="preserve"> = 75000 \* CHINESENUM4 \* MERGEFORMAT </w:instrText>
      </w:r>
      <w:r>
        <w:rPr>
          <w:rFonts w:hint="eastAsia" w:ascii="宋体" w:hAnsi="宋体" w:eastAsia="宋体" w:cs="宋体"/>
          <w:b/>
          <w:bCs/>
          <w:i w:val="0"/>
          <w:iCs w:val="0"/>
          <w:color w:val="auto"/>
          <w:sz w:val="24"/>
          <w:highlight w:val="none"/>
          <w:u w:val="single"/>
          <w:lang w:val="en-US" w:eastAsia="zh-CN"/>
        </w:rPr>
        <w:fldChar w:fldCharType="separate"/>
      </w:r>
      <w:r>
        <w:rPr>
          <w:rFonts w:hint="eastAsia" w:ascii="宋体" w:hAnsi="宋体" w:eastAsia="宋体" w:cs="宋体"/>
          <w:b/>
          <w:bCs/>
          <w:i w:val="0"/>
          <w:iCs w:val="0"/>
          <w:color w:val="auto"/>
          <w:sz w:val="24"/>
          <w:highlight w:val="none"/>
          <w:u w:val="single"/>
        </w:rPr>
        <w:fldChar w:fldCharType="begin"/>
      </w:r>
      <w:r>
        <w:rPr>
          <w:rFonts w:hint="eastAsia" w:ascii="宋体" w:hAnsi="宋体" w:eastAsia="宋体" w:cs="宋体"/>
          <w:b/>
          <w:bCs/>
          <w:i w:val="0"/>
          <w:iCs w:val="0"/>
          <w:color w:val="auto"/>
          <w:sz w:val="24"/>
          <w:highlight w:val="none"/>
          <w:u w:val="single"/>
        </w:rPr>
        <w:instrText xml:space="preserve"> = 69000 \* CHINESENUM4 \* MERGEFORMAT </w:instrText>
      </w:r>
      <w:r>
        <w:rPr>
          <w:rFonts w:hint="eastAsia" w:ascii="宋体" w:hAnsi="宋体" w:eastAsia="宋体" w:cs="宋体"/>
          <w:b/>
          <w:bCs/>
          <w:i w:val="0"/>
          <w:iCs w:val="0"/>
          <w:color w:val="auto"/>
          <w:sz w:val="24"/>
          <w:highlight w:val="none"/>
          <w:u w:val="single"/>
        </w:rPr>
        <w:fldChar w:fldCharType="separate"/>
      </w:r>
      <w:r>
        <w:rPr>
          <w:rFonts w:hint="eastAsia" w:ascii="宋体" w:hAnsi="宋体" w:eastAsia="宋体" w:cs="宋体"/>
          <w:b/>
          <w:bCs/>
          <w:i w:val="0"/>
          <w:iCs w:val="0"/>
          <w:color w:val="auto"/>
          <w:sz w:val="24"/>
          <w:highlight w:val="none"/>
          <w:u w:val="single"/>
        </w:rPr>
        <w:t>陆万玖仟元整</w:t>
      </w:r>
      <w:r>
        <w:rPr>
          <w:rFonts w:hint="eastAsia" w:ascii="宋体" w:hAnsi="宋体" w:eastAsia="宋体" w:cs="宋体"/>
          <w:b/>
          <w:bCs/>
          <w:i w:val="0"/>
          <w:iCs w:val="0"/>
          <w:color w:val="auto"/>
          <w:sz w:val="24"/>
          <w:highlight w:val="none"/>
          <w:u w:val="single"/>
        </w:rPr>
        <w:fldChar w:fldCharType="end"/>
      </w:r>
      <w:r>
        <w:rPr>
          <w:rFonts w:hint="eastAsia" w:ascii="宋体" w:hAnsi="宋体" w:eastAsia="宋体" w:cs="宋体"/>
          <w:b/>
          <w:bCs/>
          <w:i w:val="0"/>
          <w:iCs w:val="0"/>
          <w:color w:val="auto"/>
          <w:sz w:val="24"/>
          <w:highlight w:val="none"/>
          <w:u w:val="single"/>
          <w:lang w:val="en-US" w:eastAsia="zh-CN"/>
        </w:rPr>
        <w:fldChar w:fldCharType="end"/>
      </w:r>
      <w:r>
        <w:rPr>
          <w:rFonts w:hint="eastAsia" w:ascii="宋体" w:hAnsi="宋体" w:eastAsia="宋体" w:cs="宋体"/>
          <w:b/>
          <w:bCs/>
          <w:color w:val="auto"/>
          <w:sz w:val="24"/>
          <w:highlight w:val="none"/>
          <w:u w:val="single"/>
        </w:rPr>
        <w:t>（￥</w:t>
      </w:r>
      <w:r>
        <w:rPr>
          <w:rFonts w:hint="eastAsia" w:ascii="宋体" w:hAnsi="宋体" w:cs="宋体"/>
          <w:b/>
          <w:bCs/>
          <w:color w:val="auto"/>
          <w:sz w:val="24"/>
          <w:highlight w:val="none"/>
          <w:u w:val="single"/>
          <w:lang w:val="en-US" w:eastAsia="zh-CN"/>
        </w:rPr>
        <w:t>69000</w:t>
      </w:r>
      <w:r>
        <w:rPr>
          <w:rFonts w:hint="eastAsia" w:ascii="宋体" w:hAnsi="宋体" w:eastAsia="宋体" w:cs="宋体"/>
          <w:b/>
          <w:bCs/>
          <w:color w:val="auto"/>
          <w:sz w:val="24"/>
          <w:highlight w:val="none"/>
          <w:u w:val="single"/>
        </w:rPr>
        <w:t>元）</w:t>
      </w:r>
      <w:r>
        <w:rPr>
          <w:rFonts w:hint="eastAsia" w:ascii="宋体" w:hAnsi="宋体" w:eastAsia="宋体" w:cs="宋体"/>
          <w:color w:val="auto"/>
          <w:sz w:val="24"/>
          <w:highlight w:val="none"/>
          <w:lang w:eastAsia="zh-CN"/>
        </w:rPr>
        <w:t>。</w:t>
      </w:r>
    </w:p>
    <w:p w14:paraId="7C9AD144">
      <w:pPr>
        <w:keepNext w:val="0"/>
        <w:keepLines w:val="0"/>
        <w:pageBreakBefore w:val="0"/>
        <w:widowControl/>
        <w:kinsoku/>
        <w:wordWrap/>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投标保证金提交的时间：</w:t>
      </w:r>
      <w:r>
        <w:rPr>
          <w:rFonts w:hint="eastAsia" w:ascii="宋体" w:hAnsi="宋体" w:eastAsia="宋体" w:cs="宋体"/>
          <w:b/>
          <w:bCs/>
          <w:color w:val="auto"/>
          <w:sz w:val="24"/>
          <w:highlight w:val="none"/>
          <w:u w:val="single"/>
        </w:rPr>
        <w:t>202</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年</w:t>
      </w:r>
      <w:r>
        <w:rPr>
          <w:rFonts w:hint="eastAsia" w:ascii="宋体" w:hAnsi="宋体" w:cs="宋体"/>
          <w:b/>
          <w:bCs/>
          <w:color w:val="auto"/>
          <w:sz w:val="24"/>
          <w:highlight w:val="none"/>
          <w:u w:val="single"/>
          <w:lang w:val="en-US" w:eastAsia="zh-CN"/>
        </w:rPr>
        <w:t>11</w:t>
      </w:r>
      <w:r>
        <w:rPr>
          <w:rFonts w:hint="eastAsia" w:ascii="宋体" w:hAnsi="宋体" w:eastAsia="宋体" w:cs="宋体"/>
          <w:b/>
          <w:bCs/>
          <w:color w:val="auto"/>
          <w:sz w:val="24"/>
          <w:highlight w:val="none"/>
          <w:u w:val="single"/>
        </w:rPr>
        <w:t>月</w:t>
      </w:r>
      <w:r>
        <w:rPr>
          <w:rFonts w:hint="eastAsia" w:ascii="宋体" w:hAnsi="宋体" w:cs="宋体"/>
          <w:b/>
          <w:bCs/>
          <w:color w:val="auto"/>
          <w:sz w:val="24"/>
          <w:highlight w:val="none"/>
          <w:u w:val="single"/>
          <w:lang w:val="en-US" w:eastAsia="zh-CN"/>
        </w:rPr>
        <w:t>17</w:t>
      </w:r>
      <w:r>
        <w:rPr>
          <w:rFonts w:hint="eastAsia" w:ascii="宋体" w:hAnsi="宋体" w:eastAsia="宋体" w:cs="宋体"/>
          <w:b/>
          <w:bCs/>
          <w:color w:val="auto"/>
          <w:sz w:val="24"/>
          <w:highlight w:val="none"/>
          <w:u w:val="single"/>
        </w:rPr>
        <w:t>日</w:t>
      </w:r>
      <w:r>
        <w:rPr>
          <w:rFonts w:hint="eastAsia" w:ascii="宋体" w:hAnsi="宋体" w:cs="宋体"/>
          <w:b/>
          <w:bCs/>
          <w:i w:val="0"/>
          <w:iCs w:val="0"/>
          <w:color w:val="auto"/>
          <w:sz w:val="24"/>
          <w:highlight w:val="none"/>
          <w:u w:val="single"/>
          <w:lang w:val="en-US" w:eastAsia="zh-CN"/>
        </w:rPr>
        <w:t>8</w:t>
      </w:r>
      <w:r>
        <w:rPr>
          <w:rFonts w:hint="eastAsia" w:ascii="宋体" w:hAnsi="宋体" w:eastAsia="宋体" w:cs="宋体"/>
          <w:b/>
          <w:bCs/>
          <w:i w:val="0"/>
          <w:iCs w:val="0"/>
          <w:color w:val="auto"/>
          <w:sz w:val="24"/>
          <w:highlight w:val="none"/>
          <w:u w:val="single"/>
        </w:rPr>
        <w:t>时</w:t>
      </w:r>
      <w:r>
        <w:rPr>
          <w:rFonts w:hint="eastAsia" w:ascii="宋体" w:hAnsi="宋体" w:eastAsia="宋体" w:cs="宋体"/>
          <w:b/>
          <w:bCs/>
          <w:i w:val="0"/>
          <w:iCs w:val="0"/>
          <w:color w:val="auto"/>
          <w:sz w:val="24"/>
          <w:highlight w:val="none"/>
          <w:u w:val="single"/>
          <w:lang w:val="en-US" w:eastAsia="zh-CN"/>
        </w:rPr>
        <w:t>30</w:t>
      </w:r>
      <w:r>
        <w:rPr>
          <w:rFonts w:hint="eastAsia" w:ascii="宋体" w:hAnsi="宋体" w:eastAsia="宋体" w:cs="宋体"/>
          <w:b/>
          <w:bCs/>
          <w:i w:val="0"/>
          <w:iCs w:val="0"/>
          <w:color w:val="auto"/>
          <w:sz w:val="24"/>
          <w:highlight w:val="none"/>
          <w:u w:val="single"/>
        </w:rPr>
        <w:t>分前</w:t>
      </w:r>
      <w:r>
        <w:rPr>
          <w:rFonts w:hint="eastAsia" w:ascii="宋体" w:hAnsi="宋体" w:eastAsia="宋体" w:cs="宋体"/>
          <w:color w:val="auto"/>
          <w:sz w:val="24"/>
          <w:highlight w:val="none"/>
        </w:rPr>
        <w:t>。</w:t>
      </w:r>
    </w:p>
    <w:p w14:paraId="7A57E1DE">
      <w:pPr>
        <w:keepNext w:val="0"/>
        <w:keepLines w:val="0"/>
        <w:pageBreakBefore w:val="0"/>
        <w:widowControl/>
        <w:tabs>
          <w:tab w:val="left" w:pos="510"/>
          <w:tab w:val="left" w:pos="900"/>
          <w:tab w:val="left" w:pos="1100"/>
        </w:tabs>
        <w:kinsoku/>
        <w:overflowPunct/>
        <w:topLinePunct w:val="0"/>
        <w:autoSpaceDE/>
        <w:autoSpaceDN/>
        <w:bidi w:val="0"/>
        <w:adjustRightInd/>
        <w:snapToGrid/>
        <w:spacing w:line="360" w:lineRule="auto"/>
        <w:ind w:left="0" w:right="0" w:rightChars="0" w:firstLine="480" w:firstLineChars="200"/>
        <w:jc w:val="left"/>
        <w:textAlignment w:val="auto"/>
        <w:rPr>
          <w:rFonts w:hint="eastAsia" w:ascii="宋体" w:hAnsi="宋体" w:eastAsia="宋体" w:cs="Times New Roman"/>
          <w:b/>
          <w:color w:val="auto"/>
          <w:sz w:val="24"/>
          <w:highlight w:val="none"/>
        </w:rPr>
      </w:pPr>
      <w:r>
        <w:rPr>
          <w:rFonts w:hint="eastAsia" w:ascii="宋体" w:hAnsi="宋体" w:eastAsia="宋体" w:cs="宋体"/>
          <w:b w:val="0"/>
          <w:bCs/>
          <w:color w:val="auto"/>
          <w:sz w:val="24"/>
          <w:highlight w:val="none"/>
          <w:lang w:val="en-US" w:eastAsia="zh-CN"/>
        </w:rPr>
        <w:t>3）投标保证金提交的方式：具体详见招标文件要求</w:t>
      </w:r>
      <w:r>
        <w:rPr>
          <w:rFonts w:hint="eastAsia" w:ascii="宋体" w:hAnsi="宋体" w:eastAsia="宋体" w:cs="宋体"/>
          <w:b w:val="0"/>
          <w:bCs/>
          <w:color w:val="auto"/>
          <w:sz w:val="24"/>
          <w:highlight w:val="none"/>
        </w:rPr>
        <w:t>。</w:t>
      </w:r>
    </w:p>
    <w:p w14:paraId="38ECF867">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7．踏勘现场和投标预备会</w:t>
      </w:r>
    </w:p>
    <w:p w14:paraId="6505BD0A">
      <w:pPr>
        <w:keepNext w:val="0"/>
        <w:keepLines w:val="0"/>
        <w:pageBreakBefore w:val="0"/>
        <w:widowControl/>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本次招标不组织踏勘现场。</w:t>
      </w:r>
    </w:p>
    <w:p w14:paraId="6A37C001">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8.评标办法</w:t>
      </w:r>
    </w:p>
    <w:p w14:paraId="69592C5A">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 xml:space="preserve">    本招标项目采用的评标办法：</w:t>
      </w:r>
      <w:r>
        <w:rPr>
          <w:rFonts w:hint="eastAsia" w:ascii="宋体" w:hAnsi="宋体" w:eastAsia="宋体" w:cs="宋体"/>
          <w:b/>
          <w:bCs/>
          <w:color w:val="auto"/>
          <w:sz w:val="24"/>
          <w:highlight w:val="none"/>
          <w:u w:val="single"/>
        </w:rPr>
        <w:t>随机抽取中标法</w:t>
      </w:r>
      <w:r>
        <w:rPr>
          <w:rFonts w:hint="eastAsia" w:ascii="宋体" w:hAnsi="宋体" w:eastAsia="宋体" w:cs="宋体"/>
          <w:color w:val="auto"/>
          <w:sz w:val="24"/>
          <w:highlight w:val="none"/>
          <w:u w:val="none"/>
        </w:rPr>
        <w:t>。</w:t>
      </w:r>
    </w:p>
    <w:p w14:paraId="5714CDE3">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9.发布公告的媒介</w:t>
      </w:r>
    </w:p>
    <w:p w14:paraId="1DD5A3ED">
      <w:pPr>
        <w:keepNext w:val="0"/>
        <w:keepLines w:val="0"/>
        <w:pageBreakBefore w:val="0"/>
        <w:widowControl/>
        <w:tabs>
          <w:tab w:val="left" w:pos="900"/>
          <w:tab w:val="left" w:pos="1100"/>
        </w:tabs>
        <w:kinsoku/>
        <w:wordWrap w:val="0"/>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招标人在</w:t>
      </w:r>
      <w:r>
        <w:rPr>
          <w:rFonts w:hint="eastAsia" w:ascii="宋体" w:hAnsi="宋体" w:eastAsia="宋体" w:cs="宋体"/>
          <w:color w:val="auto"/>
          <w:sz w:val="24"/>
          <w:highlight w:val="none"/>
          <w:lang w:eastAsia="zh-CN"/>
        </w:rPr>
        <w:t>新点电子交易平台-福建专区-第三方平台（https://fujian.etrading.cn/）、莆田市湄洲岛旅游建设集团有限公司网（http://www.mzdljjt.com/zh）</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莆田市湄洲岛国家旅游度假区管委会</w:t>
      </w:r>
      <w:r>
        <w:rPr>
          <w:rFonts w:hint="eastAsia" w:ascii="宋体" w:hAnsi="宋体" w:eastAsia="宋体" w:cs="宋体"/>
          <w:color w:val="auto"/>
          <w:sz w:val="24"/>
          <w:highlight w:val="none"/>
          <w:lang w:val="en-US" w:eastAsia="zh-CN"/>
        </w:rPr>
        <w:t>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http://mzd.putian.gov.cn/</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上发布</w:t>
      </w:r>
      <w:r>
        <w:rPr>
          <w:rFonts w:hint="eastAsia" w:ascii="宋体" w:hAnsi="宋体" w:eastAsia="宋体" w:cs="宋体"/>
          <w:color w:val="auto"/>
          <w:sz w:val="24"/>
          <w:highlight w:val="none"/>
          <w:lang w:val="en-US" w:eastAsia="zh-CN"/>
        </w:rPr>
        <w:t>公告</w:t>
      </w:r>
      <w:r>
        <w:rPr>
          <w:rFonts w:hint="eastAsia" w:ascii="宋体" w:hAnsi="宋体" w:eastAsia="宋体" w:cs="宋体"/>
          <w:color w:val="auto"/>
          <w:sz w:val="24"/>
          <w:highlight w:val="none"/>
        </w:rPr>
        <w:t>。</w:t>
      </w:r>
    </w:p>
    <w:p w14:paraId="2A35904A">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right="0" w:righ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0</w:t>
      </w:r>
      <w:r>
        <w:rPr>
          <w:rFonts w:hint="eastAsia" w:ascii="宋体" w:hAnsi="宋体" w:eastAsia="宋体" w:cs="宋体"/>
          <w:b/>
          <w:color w:val="auto"/>
          <w:sz w:val="24"/>
          <w:highlight w:val="none"/>
        </w:rPr>
        <w:t>．联系方式</w:t>
      </w:r>
    </w:p>
    <w:p w14:paraId="0B5A776F">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w:t>
      </w:r>
      <w:r>
        <w:rPr>
          <w:rFonts w:hint="eastAsia" w:ascii="宋体" w:hAnsi="宋体" w:cs="宋体"/>
          <w:color w:val="auto"/>
          <w:sz w:val="24"/>
          <w:highlight w:val="none"/>
          <w:u w:val="single"/>
          <w:lang w:eastAsia="zh-CN"/>
        </w:rPr>
        <w:t>莆田市湄洲岛旅游建设集团有限公司</w:t>
      </w:r>
      <w:r>
        <w:rPr>
          <w:rFonts w:hint="eastAsia" w:ascii="宋体" w:hAnsi="宋体" w:eastAsia="宋体" w:cs="宋体"/>
          <w:color w:val="auto"/>
          <w:sz w:val="24"/>
          <w:highlight w:val="none"/>
        </w:rPr>
        <w:t>；</w:t>
      </w:r>
    </w:p>
    <w:p w14:paraId="4A264C32">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bookmarkStart w:id="3" w:name="EB0f11bdadfcd94db38a0bad41b98cf3ac"/>
      <w:r>
        <w:rPr>
          <w:rFonts w:hint="eastAsia" w:ascii="宋体" w:hAnsi="宋体" w:eastAsia="宋体" w:cs="宋体"/>
          <w:color w:val="auto"/>
          <w:sz w:val="24"/>
          <w:highlight w:val="none"/>
          <w:u w:val="single"/>
          <w:lang w:val="en-US" w:eastAsia="en-US"/>
        </w:rPr>
        <w:t>莆田市湄洲岛</w:t>
      </w:r>
      <w:bookmarkEnd w:id="3"/>
      <w:r>
        <w:rPr>
          <w:rFonts w:hint="eastAsia" w:ascii="宋体" w:hAnsi="宋体" w:cs="宋体"/>
          <w:color w:val="auto"/>
          <w:sz w:val="24"/>
          <w:highlight w:val="none"/>
          <w:lang w:eastAsia="zh-CN"/>
        </w:rPr>
        <w:t>；</w:t>
      </w:r>
    </w:p>
    <w:p w14:paraId="6FC25BCA">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u w:val="single"/>
          <w:lang w:val="en-US" w:eastAsia="zh-CN"/>
        </w:rPr>
        <w:t>高女士</w:t>
      </w:r>
      <w:r>
        <w:rPr>
          <w:rFonts w:hint="eastAsia" w:ascii="宋体" w:hAnsi="宋体" w:cs="宋体"/>
          <w:color w:val="auto"/>
          <w:sz w:val="24"/>
          <w:highlight w:val="none"/>
          <w:lang w:eastAsia="zh-CN"/>
        </w:rPr>
        <w:t>；</w:t>
      </w:r>
    </w:p>
    <w:p w14:paraId="1384073F">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cs="宋体"/>
          <w:color w:val="auto"/>
          <w:sz w:val="24"/>
          <w:highlight w:val="none"/>
          <w:u w:val="single"/>
          <w:lang w:eastAsia="zh-CN"/>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bookmarkStart w:id="4" w:name="EBf0bcc6a65c9b4ea38bab2b502a0908b3"/>
      <w:r>
        <w:rPr>
          <w:rFonts w:hint="eastAsia" w:ascii="宋体" w:hAnsi="宋体" w:eastAsia="宋体" w:cs="宋体"/>
          <w:color w:val="auto"/>
          <w:sz w:val="24"/>
          <w:highlight w:val="none"/>
          <w:u w:val="single"/>
          <w:lang w:val="en-US" w:eastAsia="en-US"/>
        </w:rPr>
        <w:t>0594-6729282</w:t>
      </w:r>
      <w:bookmarkEnd w:id="4"/>
      <w:r>
        <w:rPr>
          <w:rFonts w:hint="eastAsia" w:ascii="宋体" w:hAnsi="宋体" w:cs="宋体"/>
          <w:color w:val="auto"/>
          <w:sz w:val="24"/>
          <w:highlight w:val="none"/>
          <w:u w:val="single"/>
          <w:lang w:eastAsia="zh-CN"/>
        </w:rPr>
        <w:t>；</w:t>
      </w:r>
    </w:p>
    <w:p w14:paraId="42831670">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cs="宋体"/>
          <w:color w:val="auto"/>
          <w:sz w:val="24"/>
          <w:highlight w:val="none"/>
          <w:u w:val="single"/>
          <w:lang w:eastAsia="zh-CN"/>
        </w:rPr>
      </w:pPr>
    </w:p>
    <w:p w14:paraId="37C50AF7">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w:t>
      </w:r>
      <w:r>
        <w:rPr>
          <w:rFonts w:hint="eastAsia" w:ascii="宋体" w:hAnsi="宋体" w:cs="宋体"/>
          <w:color w:val="auto"/>
          <w:sz w:val="24"/>
          <w:highlight w:val="none"/>
          <w:u w:val="single"/>
          <w:lang w:eastAsia="zh-CN"/>
        </w:rPr>
        <w:t>福建立信招投标管理有限公司</w:t>
      </w:r>
      <w:r>
        <w:rPr>
          <w:rFonts w:hint="eastAsia" w:ascii="宋体" w:hAnsi="宋体" w:eastAsia="宋体" w:cs="宋体"/>
          <w:color w:val="auto"/>
          <w:sz w:val="24"/>
          <w:highlight w:val="none"/>
        </w:rPr>
        <w:t>；</w:t>
      </w:r>
    </w:p>
    <w:p w14:paraId="118FD186">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址：</w:t>
      </w:r>
      <w:r>
        <w:rPr>
          <w:rFonts w:hint="eastAsia" w:ascii="宋体" w:hAnsi="宋体" w:eastAsia="宋体" w:cs="宋体"/>
          <w:color w:val="auto"/>
          <w:kern w:val="0"/>
          <w:sz w:val="24"/>
          <w:highlight w:val="none"/>
          <w:u w:val="single"/>
          <w:shd w:val="clear" w:color="auto" w:fill="auto"/>
          <w:lang w:eastAsia="zh-CN"/>
        </w:rPr>
        <w:t>莆田市</w:t>
      </w:r>
      <w:r>
        <w:rPr>
          <w:rFonts w:hint="eastAsia" w:ascii="宋体" w:hAnsi="宋体" w:eastAsia="宋体" w:cs="宋体"/>
          <w:color w:val="auto"/>
          <w:kern w:val="0"/>
          <w:sz w:val="24"/>
          <w:highlight w:val="none"/>
          <w:u w:val="single"/>
          <w:shd w:val="clear" w:color="auto" w:fill="auto"/>
          <w:lang w:val="en-US" w:eastAsia="zh-CN"/>
        </w:rPr>
        <w:t>荔城</w:t>
      </w:r>
      <w:r>
        <w:rPr>
          <w:rFonts w:hint="eastAsia" w:ascii="宋体" w:hAnsi="宋体" w:eastAsia="宋体" w:cs="宋体"/>
          <w:color w:val="auto"/>
          <w:kern w:val="0"/>
          <w:sz w:val="24"/>
          <w:highlight w:val="none"/>
          <w:u w:val="single"/>
          <w:shd w:val="clear" w:color="auto" w:fill="auto"/>
          <w:lang w:eastAsia="zh-CN"/>
        </w:rPr>
        <w:t>区</w:t>
      </w:r>
      <w:r>
        <w:rPr>
          <w:rFonts w:hint="eastAsia" w:ascii="宋体" w:hAnsi="宋体" w:eastAsia="宋体" w:cs="宋体"/>
          <w:color w:val="auto"/>
          <w:kern w:val="0"/>
          <w:sz w:val="24"/>
          <w:highlight w:val="none"/>
          <w:u w:val="single"/>
          <w:shd w:val="clear" w:color="auto" w:fill="auto"/>
          <w:lang w:val="en-US" w:eastAsia="zh-CN"/>
        </w:rPr>
        <w:t>镇海街道丰美小区</w:t>
      </w:r>
      <w:r>
        <w:rPr>
          <w:rFonts w:hint="eastAsia" w:ascii="宋体" w:hAnsi="宋体" w:cs="宋体"/>
          <w:color w:val="auto"/>
          <w:sz w:val="24"/>
          <w:highlight w:val="none"/>
          <w:lang w:eastAsia="zh-CN"/>
        </w:rPr>
        <w:t>；</w:t>
      </w:r>
    </w:p>
    <w:p w14:paraId="7F55D6FF">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u w:val="single"/>
          <w:lang w:val="en-US" w:eastAsia="zh-CN"/>
        </w:rPr>
        <w:t>陈女士</w:t>
      </w:r>
      <w:r>
        <w:rPr>
          <w:rFonts w:hint="eastAsia" w:ascii="宋体" w:hAnsi="宋体" w:cs="宋体"/>
          <w:color w:val="auto"/>
          <w:sz w:val="24"/>
          <w:highlight w:val="none"/>
          <w:lang w:eastAsia="zh-CN"/>
        </w:rPr>
        <w:t>；</w:t>
      </w:r>
    </w:p>
    <w:p w14:paraId="5E304A29">
      <w:pPr>
        <w:keepNext w:val="0"/>
        <w:keepLines w:val="0"/>
        <w:pageBreakBefore w:val="0"/>
        <w:kinsoku/>
        <w:overflowPunct/>
        <w:topLinePunct w:val="0"/>
        <w:autoSpaceDE/>
        <w:autoSpaceDN/>
        <w:bidi w:val="0"/>
        <w:adjustRightInd/>
        <w:snapToGrid/>
        <w:spacing w:line="440" w:lineRule="exact"/>
        <w:ind w:left="0" w:right="0" w:rightChars="0" w:firstLine="480" w:firstLineChars="200"/>
        <w:jc w:val="left"/>
        <w:textAlignment w:val="auto"/>
        <w:rPr>
          <w:rFonts w:hint="eastAsia" w:ascii="宋体" w:hAnsi="宋体" w:eastAsia="宋体" w:cs="宋体"/>
          <w:b/>
          <w:color w:val="auto"/>
          <w:sz w:val="36"/>
          <w:szCs w:val="36"/>
          <w:highlight w:val="none"/>
        </w:rPr>
      </w:pP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sz w:val="24"/>
          <w:highlight w:val="none"/>
          <w:u w:val="single"/>
          <w:lang w:val="en-US" w:eastAsia="zh-CN"/>
        </w:rPr>
        <w:t>13107980597</w:t>
      </w:r>
      <w:r>
        <w:rPr>
          <w:rFonts w:hint="eastAsia" w:ascii="宋体" w:hAnsi="宋体" w:eastAsia="宋体" w:cs="宋体"/>
          <w:color w:val="auto"/>
          <w:sz w:val="24"/>
          <w:highlight w:val="none"/>
          <w:u w:val="none"/>
          <w:lang w:val="en-US" w:eastAsia="zh-CN"/>
        </w:rPr>
        <w:t>。</w:t>
      </w:r>
    </w:p>
    <w:p w14:paraId="63446889">
      <w:pPr>
        <w:spacing w:before="156" w:beforeLines="50" w:after="156" w:afterLines="50" w:line="560" w:lineRule="exact"/>
        <w:jc w:val="center"/>
        <w:rPr>
          <w:rFonts w:hint="eastAsia" w:ascii="宋体" w:hAnsi="宋体" w:eastAsia="宋体" w:cs="宋体"/>
          <w:b/>
          <w:color w:val="auto"/>
          <w:sz w:val="36"/>
          <w:szCs w:val="36"/>
          <w:highlight w:val="none"/>
        </w:rPr>
      </w:pPr>
    </w:p>
    <w:p w14:paraId="43AC66B9">
      <w:pPr>
        <w:wordWrap w:val="0"/>
        <w:jc w:val="right"/>
        <w:rPr>
          <w:rFonts w:hint="default" w:eastAsia="宋体"/>
          <w:color w:val="auto"/>
          <w:sz w:val="24"/>
          <w:szCs w:val="24"/>
          <w:highlight w:val="none"/>
          <w:lang w:val="en-US" w:eastAsia="zh-CN"/>
        </w:rPr>
      </w:pPr>
      <w:r>
        <w:rPr>
          <w:rFonts w:hint="eastAsia" w:ascii="Times New Roman" w:eastAsia="宋体"/>
          <w:color w:val="auto"/>
          <w:sz w:val="24"/>
          <w:szCs w:val="24"/>
          <w:highlight w:val="none"/>
          <w:lang w:val="en-US" w:eastAsia="zh-CN"/>
        </w:rPr>
        <w:t xml:space="preserve">      </w:t>
      </w:r>
      <w:r>
        <w:rPr>
          <w:rFonts w:hint="eastAsia"/>
          <w:color w:val="auto"/>
          <w:sz w:val="24"/>
          <w:szCs w:val="24"/>
          <w:highlight w:val="none"/>
          <w:lang w:val="en-US" w:eastAsia="zh-CN"/>
        </w:rPr>
        <w:t xml:space="preserve"> </w:t>
      </w:r>
    </w:p>
    <w:p w14:paraId="7B87EBD1">
      <w:pPr>
        <w:spacing w:before="156" w:beforeLines="50" w:after="156" w:afterLines="50" w:line="560" w:lineRule="exact"/>
        <w:jc w:val="both"/>
        <w:rPr>
          <w:rFonts w:hint="eastAsia" w:ascii="宋体" w:hAnsi="宋体" w:eastAsia="宋体" w:cs="宋体"/>
          <w:b/>
          <w:color w:val="auto"/>
          <w:sz w:val="36"/>
          <w:szCs w:val="36"/>
          <w:highlight w:val="none"/>
        </w:rPr>
      </w:pPr>
    </w:p>
    <w:p w14:paraId="2BA68D4A">
      <w:pPr>
        <w:spacing w:before="156" w:beforeLines="50" w:after="156" w:afterLines="50" w:line="560" w:lineRule="exact"/>
        <w:jc w:val="both"/>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lang w:val="en-US" w:eastAsia="zh-CN"/>
        </w:rPr>
        <w:t xml:space="preserve">                                   </w:t>
      </w:r>
    </w:p>
    <w:p w14:paraId="3E5AFE0F">
      <w:pPr>
        <w:spacing w:before="156" w:beforeLines="50" w:after="156" w:afterLines="50" w:line="56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第二章  投标人须知</w:t>
      </w:r>
    </w:p>
    <w:p w14:paraId="1104F98F">
      <w:pPr>
        <w:spacing w:before="156" w:beforeLines="50" w:after="156" w:afterLines="50" w:line="38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（一）总则</w:t>
      </w:r>
    </w:p>
    <w:p w14:paraId="7F2729AB">
      <w:pPr>
        <w:keepNext w:val="0"/>
        <w:keepLines w:val="0"/>
        <w:pageBreakBefore w:val="0"/>
        <w:tabs>
          <w:tab w:val="left" w:pos="720"/>
        </w:tabs>
        <w:kinsoku/>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rPr>
        <w:t>. 工程概况</w:t>
      </w:r>
    </w:p>
    <w:p w14:paraId="546E01F7">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 项目名称：</w:t>
      </w:r>
      <w:r>
        <w:rPr>
          <w:rFonts w:hint="eastAsia" w:ascii="宋体" w:hAnsi="宋体" w:cs="宋体"/>
          <w:color w:val="auto"/>
          <w:sz w:val="24"/>
          <w:highlight w:val="none"/>
          <w:u w:val="single"/>
          <w:lang w:eastAsia="zh-CN"/>
        </w:rPr>
        <w:t>莆田市湄洲岛再生水利用配置试点项目（二期）</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t xml:space="preserve"> </w:t>
      </w:r>
    </w:p>
    <w:p w14:paraId="3C10D2F2">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.2 建设地点: </w:t>
      </w:r>
      <w:r>
        <w:rPr>
          <w:rFonts w:hint="eastAsia" w:ascii="宋体" w:hAnsi="宋体" w:eastAsia="宋体" w:cs="宋体"/>
          <w:color w:val="auto"/>
          <w:sz w:val="24"/>
          <w:highlight w:val="none"/>
          <w:u w:val="single"/>
          <w:lang w:val="en-US" w:eastAsia="zh-CN"/>
        </w:rPr>
        <w:t>莆田市湄洲岛</w:t>
      </w:r>
      <w:r>
        <w:rPr>
          <w:rFonts w:hint="eastAsia" w:ascii="宋体" w:hAnsi="宋体" w:eastAsia="宋体" w:cs="宋体"/>
          <w:color w:val="auto"/>
          <w:sz w:val="24"/>
          <w:highlight w:val="none"/>
          <w:u w:val="none"/>
          <w:lang w:val="en-US" w:eastAsia="zh-CN"/>
        </w:rPr>
        <w:t>；</w:t>
      </w:r>
      <w:r>
        <w:rPr>
          <w:rFonts w:hint="eastAsia" w:ascii="宋体" w:hAnsi="宋体" w:eastAsia="宋体" w:cs="宋体"/>
          <w:color w:val="auto"/>
          <w:sz w:val="24"/>
          <w:highlight w:val="none"/>
        </w:rPr>
        <w:t xml:space="preserve">                    </w:t>
      </w:r>
    </w:p>
    <w:p w14:paraId="5CB943E1">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 建设规模:</w:t>
      </w:r>
      <w:r>
        <w:rPr>
          <w:rFonts w:hint="eastAsia" w:ascii="Times New Roman" w:hAnsi="Times New Roman" w:eastAsia="宋体" w:cs="Times New Roman"/>
          <w:color w:val="auto"/>
          <w:highlight w:val="non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约</w:t>
      </w:r>
      <w:r>
        <w:rPr>
          <w:rFonts w:hint="eastAsia" w:ascii="宋体" w:hAnsi="宋体" w:cs="宋体"/>
          <w:color w:val="auto"/>
          <w:sz w:val="24"/>
          <w:highlight w:val="none"/>
          <w:u w:val="single"/>
          <w:lang w:val="en-US" w:eastAsia="zh-CN"/>
        </w:rPr>
        <w:t>399</w:t>
      </w:r>
      <w:r>
        <w:rPr>
          <w:rFonts w:hint="eastAsia" w:ascii="宋体" w:hAnsi="宋体" w:eastAsia="宋体" w:cs="宋体"/>
          <w:color w:val="auto"/>
          <w:sz w:val="24"/>
          <w:highlight w:val="none"/>
          <w:u w:val="single"/>
          <w:lang w:val="en-US" w:eastAsia="zh-CN"/>
        </w:rPr>
        <w:t>万元</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t xml:space="preserve">                                   </w:t>
      </w:r>
    </w:p>
    <w:p w14:paraId="4A5ABF98">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.4 承包方式: </w:t>
      </w:r>
      <w:r>
        <w:rPr>
          <w:rFonts w:hint="eastAsia" w:ascii="宋体" w:hAnsi="宋体" w:eastAsia="宋体" w:cs="宋体"/>
          <w:color w:val="auto"/>
          <w:sz w:val="24"/>
          <w:highlight w:val="none"/>
          <w:u w:val="single"/>
        </w:rPr>
        <w:t>包工包料</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t xml:space="preserve">                                      </w:t>
      </w:r>
    </w:p>
    <w:p w14:paraId="7F6220FD">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.5 质量要求: </w:t>
      </w:r>
      <w:r>
        <w:rPr>
          <w:rFonts w:hint="eastAsia" w:ascii="宋体" w:hAnsi="宋体" w:eastAsia="宋体" w:cs="宋体"/>
          <w:color w:val="auto"/>
          <w:sz w:val="24"/>
          <w:highlight w:val="none"/>
          <w:u w:val="single"/>
        </w:rPr>
        <w:t>合格</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p w14:paraId="0F7A2DD8">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.6 招标范围: </w:t>
      </w:r>
      <w:r>
        <w:rPr>
          <w:rFonts w:hint="eastAsia" w:ascii="宋体" w:hAnsi="宋体" w:eastAsia="宋体" w:cs="宋体"/>
          <w:color w:val="auto"/>
          <w:sz w:val="24"/>
          <w:highlight w:val="none"/>
          <w:u w:val="single"/>
        </w:rPr>
        <w:t>具体按施工图纸，不列入招标范围的详预算编制说明</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Cs w:val="21"/>
          <w:highlight w:val="none"/>
        </w:rPr>
        <w:t xml:space="preserve"> </w:t>
      </w:r>
      <w:r>
        <w:rPr>
          <w:rFonts w:hint="eastAsia" w:ascii="宋体" w:hAnsi="宋体" w:eastAsia="宋体" w:cs="宋体"/>
          <w:color w:val="auto"/>
          <w:sz w:val="24"/>
          <w:highlight w:val="none"/>
        </w:rPr>
        <w:t xml:space="preserve">                </w:t>
      </w:r>
    </w:p>
    <w:p w14:paraId="59BE59F3">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.7 施工总工期:</w:t>
      </w:r>
      <w:r>
        <w:rPr>
          <w:rFonts w:hint="eastAsia" w:ascii="宋体" w:hAnsi="宋体" w:cs="宋体"/>
          <w:color w:val="auto"/>
          <w:sz w:val="24"/>
          <w:highlight w:val="none"/>
          <w:u w:val="single"/>
          <w:lang w:val="en-US" w:eastAsia="zh-CN"/>
        </w:rPr>
        <w:t xml:space="preserve"> 75 </w:t>
      </w:r>
      <w:r>
        <w:rPr>
          <w:rFonts w:hint="eastAsia" w:ascii="宋体" w:hAnsi="宋体" w:eastAsia="宋体" w:cs="宋体"/>
          <w:color w:val="auto"/>
          <w:sz w:val="24"/>
          <w:highlight w:val="none"/>
        </w:rPr>
        <w:t>个日历天</w:t>
      </w:r>
      <w:r>
        <w:rPr>
          <w:rFonts w:hint="eastAsia" w:ascii="宋体" w:hAnsi="宋体" w:eastAsia="宋体" w:cs="宋体"/>
          <w:color w:val="auto"/>
          <w:sz w:val="24"/>
          <w:highlight w:val="none"/>
          <w:lang w:eastAsia="zh-CN"/>
        </w:rPr>
        <w:t>；</w:t>
      </w:r>
    </w:p>
    <w:p w14:paraId="69327834">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.8 资金来源: </w:t>
      </w:r>
      <w:r>
        <w:rPr>
          <w:rFonts w:hint="eastAsia" w:ascii="宋体" w:hAnsi="宋体" w:eastAsia="宋体" w:cs="宋体"/>
          <w:color w:val="auto"/>
          <w:sz w:val="24"/>
          <w:highlight w:val="none"/>
          <w:u w:val="single"/>
        </w:rPr>
        <w:t>上级拨款</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rPr>
        <w:t xml:space="preserve">       </w:t>
      </w:r>
    </w:p>
    <w:p w14:paraId="1B224369">
      <w:pPr>
        <w:keepNext w:val="0"/>
        <w:keepLines w:val="0"/>
        <w:pageBreakBefore w:val="0"/>
        <w:kinsoku/>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 投标人资格要求及审查方式</w:t>
      </w:r>
    </w:p>
    <w:p w14:paraId="417E41CF">
      <w:pPr>
        <w:keepNext w:val="0"/>
        <w:keepLines w:val="0"/>
        <w:pageBreakBefore w:val="0"/>
        <w:widowControl/>
        <w:tabs>
          <w:tab w:val="left" w:pos="900"/>
          <w:tab w:val="left" w:pos="1100"/>
        </w:tabs>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.1本招标项</w:t>
      </w:r>
      <w:r>
        <w:rPr>
          <w:rFonts w:hint="eastAsia" w:ascii="宋体" w:hAnsi="宋体" w:eastAsia="宋体" w:cs="宋体"/>
          <w:color w:val="auto"/>
          <w:sz w:val="24"/>
          <w:highlight w:val="none"/>
        </w:rPr>
        <w:t>目要求投标人</w:t>
      </w:r>
      <w:r>
        <w:rPr>
          <w:rFonts w:hint="eastAsia" w:ascii="宋体" w:hAnsi="宋体" w:eastAsia="宋体" w:cs="Times New Roman"/>
          <w:color w:val="auto"/>
          <w:sz w:val="24"/>
          <w:highlight w:val="none"/>
        </w:rPr>
        <w:t>具备</w:t>
      </w:r>
      <w:r>
        <w:rPr>
          <w:rFonts w:hint="eastAsia" w:ascii="宋体" w:hAnsi="宋体" w:eastAsia="宋体" w:cs="Times New Roman"/>
          <w:bCs/>
          <w:color w:val="auto"/>
          <w:sz w:val="24"/>
          <w:highlight w:val="none"/>
          <w:u w:val="single"/>
        </w:rPr>
        <w:t>水利工程施工总承包三级及以上</w:t>
      </w:r>
      <w:r>
        <w:rPr>
          <w:rFonts w:hint="eastAsia" w:ascii="宋体" w:hAnsi="宋体" w:eastAsia="宋体" w:cs="Times New Roman"/>
          <w:color w:val="auto"/>
          <w:sz w:val="24"/>
          <w:highlight w:val="none"/>
        </w:rPr>
        <w:t>资质和有效的《施工企业安全生产许可证》；</w:t>
      </w:r>
    </w:p>
    <w:p w14:paraId="29D35896">
      <w:pPr>
        <w:keepNext w:val="0"/>
        <w:keepLines w:val="0"/>
        <w:pageBreakBefore w:val="0"/>
        <w:widowControl/>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w:t>
      </w:r>
      <w:r>
        <w:rPr>
          <w:rFonts w:hint="eastAsia" w:ascii="宋体" w:hAnsi="宋体" w:eastAsia="宋体" w:cs="Times New Roman"/>
          <w:color w:val="auto"/>
          <w:sz w:val="24"/>
          <w:highlight w:val="none"/>
        </w:rPr>
        <w:t>投标人拟担任本招标项目的项目经理应具备有效的不低于</w:t>
      </w:r>
      <w:r>
        <w:rPr>
          <w:rFonts w:hint="eastAsia" w:ascii="宋体" w:hAnsi="宋体" w:eastAsia="宋体" w:cs="Times New Roman"/>
          <w:b/>
          <w:bCs/>
          <w:iCs/>
          <w:color w:val="auto"/>
          <w:sz w:val="24"/>
          <w:highlight w:val="none"/>
          <w:u w:val="single"/>
        </w:rPr>
        <w:t>二</w:t>
      </w:r>
      <w:r>
        <w:rPr>
          <w:rFonts w:hint="eastAsia" w:ascii="宋体" w:hAnsi="宋体" w:eastAsia="宋体" w:cs="Times New Roman"/>
          <w:color w:val="auto"/>
          <w:sz w:val="24"/>
          <w:highlight w:val="none"/>
        </w:rPr>
        <w:t>级</w:t>
      </w:r>
      <w:r>
        <w:rPr>
          <w:rFonts w:hint="eastAsia" w:ascii="宋体" w:hAnsi="宋体" w:eastAsia="宋体" w:cs="Times New Roman"/>
          <w:b/>
          <w:bCs/>
          <w:color w:val="auto"/>
          <w:sz w:val="24"/>
          <w:highlight w:val="none"/>
          <w:u w:val="single"/>
        </w:rPr>
        <w:t>水利水电</w:t>
      </w:r>
      <w:r>
        <w:rPr>
          <w:rFonts w:hint="eastAsia" w:ascii="宋体" w:hAnsi="宋体" w:eastAsia="宋体" w:cs="Times New Roman"/>
          <w:color w:val="auto"/>
          <w:sz w:val="24"/>
          <w:highlight w:val="none"/>
        </w:rPr>
        <w:t>(专业)注册建造师执业资格，并持有水行政主管部门颁发的有效安全考核合格证书（B证）；实行施工到位承诺制（投标承诺函），更换赔偿义务（合同条款），被更换项目经理6个月内不得在福建省范围内参加其他工程投标，若参加其他工程投标中标，即取消中标资格且记入不良记录；</w:t>
      </w:r>
    </w:p>
    <w:p w14:paraId="1EEF8452">
      <w:pPr>
        <w:keepNext w:val="0"/>
        <w:keepLines w:val="0"/>
        <w:pageBreakBefore w:val="0"/>
        <w:widowControl/>
        <w:kinsoku/>
        <w:overflowPunct/>
        <w:topLinePunct w:val="0"/>
        <w:autoSpaceDE/>
        <w:autoSpaceDN/>
        <w:bidi w:val="0"/>
        <w:adjustRightInd/>
        <w:snapToGrid/>
        <w:spacing w:line="440" w:lineRule="exact"/>
        <w:ind w:left="0" w:leftChars="0" w:firstLine="480" w:firstLineChars="200"/>
        <w:jc w:val="left"/>
        <w:textAlignment w:val="auto"/>
        <w:rPr>
          <w:rFonts w:ascii="宋体" w:hAnsi="宋体" w:eastAsia="宋体" w:cs="Times New Roman"/>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.3</w:t>
      </w:r>
      <w:r>
        <w:rPr>
          <w:rFonts w:hint="eastAsia" w:ascii="宋体" w:hAnsi="宋体" w:eastAsia="宋体" w:cs="Times New Roman"/>
          <w:color w:val="auto"/>
          <w:sz w:val="24"/>
          <w:highlight w:val="none"/>
        </w:rPr>
        <w:t>本招标项目</w:t>
      </w:r>
      <w:r>
        <w:rPr>
          <w:rFonts w:hint="eastAsia" w:ascii="宋体" w:hAnsi="宋体" w:eastAsia="宋体" w:cs="Times New Roman"/>
          <w:color w:val="auto"/>
          <w:sz w:val="24"/>
          <w:highlight w:val="none"/>
          <w:u w:val="single"/>
        </w:rPr>
        <w:t xml:space="preserve"> 不 </w:t>
      </w:r>
      <w:r>
        <w:rPr>
          <w:rFonts w:hint="eastAsia" w:ascii="宋体" w:hAnsi="宋体" w:eastAsia="宋体" w:cs="Times New Roman"/>
          <w:color w:val="auto"/>
          <w:sz w:val="24"/>
          <w:highlight w:val="none"/>
        </w:rPr>
        <w:t>接受联合体投标</w:t>
      </w:r>
      <w:r>
        <w:rPr>
          <w:rFonts w:ascii="宋体" w:hAnsi="宋体" w:eastAsia="宋体" w:cs="Times New Roman"/>
          <w:color w:val="auto"/>
          <w:sz w:val="24"/>
          <w:highlight w:val="none"/>
        </w:rPr>
        <w:t>。</w:t>
      </w:r>
    </w:p>
    <w:p w14:paraId="0DA6AF77">
      <w:pPr>
        <w:keepNext w:val="0"/>
        <w:keepLines w:val="0"/>
        <w:pageBreakBefore w:val="0"/>
        <w:widowControl/>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.4本招标项目招标人采用资格后审的方式对投标人进行资格审查。</w:t>
      </w:r>
    </w:p>
    <w:p w14:paraId="07AA3174">
      <w:pPr>
        <w:keepNext w:val="0"/>
        <w:keepLines w:val="0"/>
        <w:pageBreakBefore w:val="0"/>
        <w:kinsoku/>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.5投标人不得存在下列情形之一：</w:t>
      </w:r>
    </w:p>
    <w:p w14:paraId="054C5CA0">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.5.1为本项目监理人</w:t>
      </w:r>
    </w:p>
    <w:p w14:paraId="36DF188D">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.5.2为本项目提供招标代理服务的</w:t>
      </w:r>
    </w:p>
    <w:p w14:paraId="34EE1E02">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.5.3与本项目招标人、监理人、招标代理机构及设计单位有相互控股、参股或为同一个法定代表人等利益关联关系的。</w:t>
      </w:r>
    </w:p>
    <w:p w14:paraId="424219AB">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.5.4最近三年内有骗取中标或严重违约或重大工程质量问题的。</w:t>
      </w:r>
    </w:p>
    <w:p w14:paraId="7AB1CC1F">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.5.5遭受行政处罚或裁决，且处罚或裁决在有效期内，内容涉及限制（取消）企业投标资格或投标相关人员个人执业资格的。</w:t>
      </w:r>
    </w:p>
    <w:p w14:paraId="08A5C38F">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5.6投标单位、法定代表人及项目负责人有行贿犯罪档案记录的潜在投标人不得参加本项目投标；近三个月被县（区）级及以上行政监督部门通报批评记不良行为记录并在全国水利建设市场监管服务平台、福建省水利建设市场信用信息平台、莆田市水利信息网或莆田市行政服务中心网上公告的企业及其专业人员不得参加本招标项目的投标，通报中明确限制期限超过三个月的按通报执行。</w:t>
      </w:r>
    </w:p>
    <w:p w14:paraId="4F7D910B">
      <w:pPr>
        <w:keepNext w:val="0"/>
        <w:keepLines w:val="0"/>
        <w:pageBreakBefore w:val="0"/>
        <w:tabs>
          <w:tab w:val="left" w:pos="0"/>
        </w:tabs>
        <w:kinsoku/>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 投标有效期</w:t>
      </w:r>
    </w:p>
    <w:p w14:paraId="2AB6F52D">
      <w:pPr>
        <w:keepNext w:val="0"/>
        <w:keepLines w:val="0"/>
        <w:pageBreakBefore w:val="0"/>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  投标有效期</w:t>
      </w:r>
      <w:r>
        <w:rPr>
          <w:rFonts w:hint="eastAsia" w:ascii="宋体" w:hAnsi="宋体" w:eastAsia="宋体" w:cs="宋体"/>
          <w:bCs/>
          <w:color w:val="auto"/>
          <w:sz w:val="24"/>
          <w:highlight w:val="none"/>
          <w:u w:val="single"/>
        </w:rPr>
        <w:t>90</w:t>
      </w:r>
      <w:r>
        <w:rPr>
          <w:rFonts w:hint="eastAsia" w:ascii="宋体" w:hAnsi="宋体" w:eastAsia="宋体" w:cs="宋体"/>
          <w:bCs/>
          <w:color w:val="auto"/>
          <w:sz w:val="24"/>
          <w:highlight w:val="none"/>
        </w:rPr>
        <w:t>日历天（从投标截止之日算起）</w:t>
      </w:r>
      <w:r>
        <w:rPr>
          <w:rFonts w:hint="eastAsia" w:ascii="宋体" w:hAnsi="宋体" w:eastAsia="宋体" w:cs="宋体"/>
          <w:color w:val="auto"/>
          <w:sz w:val="24"/>
          <w:highlight w:val="none"/>
        </w:rPr>
        <w:t>，在此期限内，投标人不得撤销或修改其投标文件。有效期短于这个规定期限的投标，将被拒绝。</w:t>
      </w:r>
    </w:p>
    <w:p w14:paraId="2AF6676F">
      <w:pPr>
        <w:keepNext w:val="0"/>
        <w:keepLines w:val="0"/>
        <w:pageBreakBefore w:val="0"/>
        <w:tabs>
          <w:tab w:val="left" w:pos="0"/>
        </w:tabs>
        <w:kinsoku/>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 投标费用</w:t>
      </w:r>
    </w:p>
    <w:p w14:paraId="07A7B95B">
      <w:pPr>
        <w:pStyle w:val="10"/>
        <w:keepNext w:val="0"/>
        <w:keepLines w:val="0"/>
        <w:pageBreakBefore w:val="0"/>
        <w:tabs>
          <w:tab w:val="left" w:pos="0"/>
          <w:tab w:val="left" w:pos="1080"/>
          <w:tab w:val="left" w:pos="1260"/>
        </w:tabs>
        <w:kinsoku/>
        <w:overflowPunct/>
        <w:topLinePunct w:val="0"/>
        <w:autoSpaceDE/>
        <w:autoSpaceDN/>
        <w:bidi w:val="0"/>
        <w:adjustRightInd/>
        <w:snapToGrid/>
        <w:spacing w:after="0" w:afterLines="0" w:line="440" w:lineRule="exact"/>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投标人应承担其编制投标文件与提交投标文件所涉及的一切费用，不管投标结果如何，招标人和招标代理单位对上述费用不负任何责任。</w:t>
      </w:r>
    </w:p>
    <w:p w14:paraId="2ECBBD35">
      <w:pPr>
        <w:keepNext w:val="0"/>
        <w:keepLines w:val="0"/>
        <w:pageBreakBefore w:val="0"/>
        <w:tabs>
          <w:tab w:val="left" w:pos="0"/>
        </w:tabs>
        <w:kinsoku/>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 现场踏勘和投标预备会</w:t>
      </w:r>
    </w:p>
    <w:p w14:paraId="2F629187">
      <w:pPr>
        <w:keepNext w:val="0"/>
        <w:keepLines w:val="0"/>
        <w:pageBreakBefore w:val="0"/>
        <w:tabs>
          <w:tab w:val="left" w:pos="0"/>
        </w:tabs>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.1招标人</w:t>
      </w:r>
      <w:r>
        <w:rPr>
          <w:rFonts w:hint="eastAsia" w:ascii="宋体" w:hAnsi="宋体" w:eastAsia="宋体" w:cs="宋体"/>
          <w:bCs/>
          <w:color w:val="auto"/>
          <w:sz w:val="24"/>
          <w:highlight w:val="none"/>
          <w:u w:val="single"/>
        </w:rPr>
        <w:t>不</w:t>
      </w:r>
      <w:r>
        <w:rPr>
          <w:rFonts w:hint="eastAsia" w:ascii="宋体" w:hAnsi="宋体" w:eastAsia="宋体" w:cs="宋体"/>
          <w:bCs/>
          <w:color w:val="auto"/>
          <w:sz w:val="24"/>
          <w:highlight w:val="none"/>
        </w:rPr>
        <w:t>组织现场勘察和投标预备会。不组织现场踏勘的投标人可为踏勘目的进入招标人的招标项目现场，但投标人不得因此使招标人承担与之有关的责任和蒙受损失。投标人应承担踏勘现场的费用、责任和风险。</w:t>
      </w:r>
    </w:p>
    <w:p w14:paraId="3CF66559">
      <w:pPr>
        <w:keepNext w:val="0"/>
        <w:keepLines w:val="0"/>
        <w:pageBreakBefore w:val="0"/>
        <w:tabs>
          <w:tab w:val="left" w:pos="0"/>
        </w:tabs>
        <w:kinsoku/>
        <w:overflowPunct/>
        <w:topLinePunct w:val="0"/>
        <w:autoSpaceDE/>
        <w:autoSpaceDN/>
        <w:bidi w:val="0"/>
        <w:adjustRightInd/>
        <w:snapToGrid/>
        <w:spacing w:line="440" w:lineRule="exact"/>
        <w:ind w:left="0" w:leftChars="0"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rPr>
        <w:t>.2招标人在本招标文件中介绍的招标项目相关情况，是招标人现有的能被投标人利用的资料，招标人对投标人作出的任何推论、理解和结论均不负责任。</w:t>
      </w:r>
    </w:p>
    <w:p w14:paraId="3DDB7C21">
      <w:pPr>
        <w:keepNext w:val="0"/>
        <w:keepLines w:val="0"/>
        <w:pageBreakBefore w:val="0"/>
        <w:tabs>
          <w:tab w:val="left" w:pos="0"/>
        </w:tabs>
        <w:kinsoku/>
        <w:overflowPunct/>
        <w:topLinePunct w:val="0"/>
        <w:autoSpaceDE/>
        <w:autoSpaceDN/>
        <w:bidi w:val="0"/>
        <w:adjustRightInd/>
        <w:snapToGrid/>
        <w:spacing w:line="440" w:lineRule="exact"/>
        <w:ind w:left="0" w:leftChars="0" w:firstLine="482"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rPr>
        <w:t>. 本工程不得转包及违法分包。</w:t>
      </w:r>
    </w:p>
    <w:p w14:paraId="0EFF1926">
      <w:pPr>
        <w:pageBreakBefore/>
        <w:spacing w:line="38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（二）招标文件</w:t>
      </w:r>
    </w:p>
    <w:p w14:paraId="521F978D">
      <w:pPr>
        <w:keepNext w:val="0"/>
        <w:keepLines w:val="0"/>
        <w:pageBreakBefore w:val="0"/>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 招标文件的组成</w:t>
      </w:r>
    </w:p>
    <w:p w14:paraId="3CB5896C">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招标文件由招标公告、投标人须知、合同条款、投标文件格式、工程量清单、施工图纸、技术标准和要求、修改澄清及答疑文件组成。</w:t>
      </w:r>
    </w:p>
    <w:p w14:paraId="14808AA3">
      <w:pPr>
        <w:keepNext w:val="0"/>
        <w:keepLines w:val="0"/>
        <w:pageBreakBefore w:val="0"/>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 招标文件的澄清及修改</w:t>
      </w:r>
    </w:p>
    <w:p w14:paraId="5DFF1558">
      <w:pPr>
        <w:keepNext w:val="0"/>
        <w:keepLines w:val="0"/>
        <w:pageBreakBefore w:val="0"/>
        <w:widowControl w:val="0"/>
        <w:kinsoku/>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楷体"/>
          <w:color w:val="auto"/>
          <w:sz w:val="24"/>
          <w:highlight w:val="none"/>
        </w:rPr>
      </w:pPr>
      <w:r>
        <w:rPr>
          <w:rFonts w:hint="eastAsia" w:ascii="宋体" w:hAnsi="宋体" w:eastAsia="宋体" w:cs="Times New Roman"/>
          <w:color w:val="auto"/>
          <w:sz w:val="24"/>
          <w:highlight w:val="none"/>
          <w:lang w:val="en-US" w:eastAsia="zh-CN"/>
        </w:rPr>
        <w:t>8</w:t>
      </w:r>
      <w:r>
        <w:rPr>
          <w:rFonts w:ascii="宋体" w:hAnsi="宋体" w:eastAsia="宋体" w:cs="Times New Roman"/>
          <w:color w:val="auto"/>
          <w:sz w:val="24"/>
          <w:highlight w:val="none"/>
        </w:rPr>
        <w:t>.1</w:t>
      </w:r>
      <w:r>
        <w:rPr>
          <w:rFonts w:hint="eastAsia" w:ascii="宋体" w:hAnsi="宋体" w:eastAsia="宋体" w:cs="楷体"/>
          <w:color w:val="auto"/>
          <w:spacing w:val="-6"/>
          <w:sz w:val="24"/>
          <w:highlight w:val="none"/>
        </w:rPr>
        <w:t>投标人在阅读招标文件、踏勘项目现场中若存在疑问(包括认为招标文件中存在限制公平竞争的倾向性条款等问题)的，或认为工程预算价的工程量存在差错或漏项、</w:t>
      </w:r>
      <w:r>
        <w:rPr>
          <w:rFonts w:hint="eastAsia" w:ascii="宋体" w:hAnsi="宋体" w:eastAsia="宋体" w:cs="楷体"/>
          <w:color w:val="auto"/>
          <w:sz w:val="24"/>
          <w:highlight w:val="none"/>
        </w:rPr>
        <w:t>材料和设备的单价</w:t>
      </w:r>
      <w:r>
        <w:rPr>
          <w:rFonts w:hint="eastAsia" w:ascii="宋体" w:hAnsi="宋体" w:eastAsia="宋体" w:cs="楷体"/>
          <w:color w:val="auto"/>
          <w:sz w:val="24"/>
          <w:highlight w:val="none"/>
          <w:lang w:eastAsia="zh-Hans"/>
        </w:rPr>
        <w:t>存在</w:t>
      </w:r>
      <w:r>
        <w:rPr>
          <w:rFonts w:hint="eastAsia" w:ascii="宋体" w:hAnsi="宋体" w:eastAsia="宋体" w:cs="楷体"/>
          <w:color w:val="auto"/>
          <w:sz w:val="24"/>
          <w:highlight w:val="none"/>
        </w:rPr>
        <w:t>误差、工程取费费率出现差错的，</w:t>
      </w:r>
      <w:r>
        <w:rPr>
          <w:rFonts w:hint="eastAsia" w:ascii="宋体" w:hAnsi="宋体" w:eastAsia="宋体" w:cs="楷体"/>
          <w:color w:val="auto"/>
          <w:spacing w:val="-6"/>
          <w:sz w:val="24"/>
          <w:highlight w:val="none"/>
        </w:rPr>
        <w:t>可在</w:t>
      </w:r>
      <w:r>
        <w:rPr>
          <w:rFonts w:hint="eastAsia" w:ascii="宋体" w:hAnsi="宋体" w:eastAsia="宋体" w:cs="楷体"/>
          <w:color w:val="auto"/>
          <w:spacing w:val="-6"/>
          <w:sz w:val="24"/>
          <w:highlight w:val="none"/>
          <w:u w:val="single"/>
        </w:rPr>
        <w:t>2</w:t>
      </w:r>
      <w:r>
        <w:rPr>
          <w:rFonts w:hint="eastAsia" w:ascii="宋体" w:hAnsi="宋体" w:cs="楷体"/>
          <w:color w:val="auto"/>
          <w:spacing w:val="-6"/>
          <w:sz w:val="24"/>
          <w:highlight w:val="none"/>
          <w:u w:val="single"/>
          <w:lang w:val="en-US" w:eastAsia="zh-CN"/>
        </w:rPr>
        <w:t>025</w:t>
      </w:r>
      <w:r>
        <w:rPr>
          <w:rFonts w:hint="eastAsia" w:ascii="宋体" w:hAnsi="宋体" w:eastAsia="宋体" w:cs="楷体"/>
          <w:color w:val="auto"/>
          <w:spacing w:val="-6"/>
          <w:sz w:val="24"/>
          <w:highlight w:val="none"/>
        </w:rPr>
        <w:t>年</w:t>
      </w:r>
      <w:r>
        <w:rPr>
          <w:rFonts w:hint="eastAsia" w:ascii="宋体" w:hAnsi="宋体" w:cs="楷体"/>
          <w:color w:val="auto"/>
          <w:spacing w:val="-6"/>
          <w:sz w:val="24"/>
          <w:highlight w:val="none"/>
          <w:u w:val="single"/>
          <w:lang w:val="en-US" w:eastAsia="zh-CN"/>
        </w:rPr>
        <w:t xml:space="preserve"> 11 </w:t>
      </w:r>
      <w:r>
        <w:rPr>
          <w:rFonts w:hint="eastAsia" w:ascii="宋体" w:hAnsi="宋体" w:eastAsia="宋体" w:cs="楷体"/>
          <w:color w:val="auto"/>
          <w:spacing w:val="-6"/>
          <w:sz w:val="24"/>
          <w:highlight w:val="none"/>
        </w:rPr>
        <w:t>月</w:t>
      </w:r>
      <w:r>
        <w:rPr>
          <w:rFonts w:hint="eastAsia" w:ascii="宋体" w:hAnsi="宋体" w:cs="楷体"/>
          <w:color w:val="auto"/>
          <w:spacing w:val="-6"/>
          <w:sz w:val="24"/>
          <w:highlight w:val="none"/>
          <w:u w:val="single"/>
          <w:lang w:val="en-US" w:eastAsia="zh-CN"/>
        </w:rPr>
        <w:t xml:space="preserve"> 10 </w:t>
      </w:r>
      <w:r>
        <w:rPr>
          <w:rFonts w:hint="eastAsia" w:ascii="宋体" w:hAnsi="宋体" w:eastAsia="宋体" w:cs="楷体"/>
          <w:color w:val="auto"/>
          <w:spacing w:val="-6"/>
          <w:sz w:val="24"/>
          <w:highlight w:val="none"/>
        </w:rPr>
        <w:t>日</w:t>
      </w:r>
      <w:r>
        <w:rPr>
          <w:rFonts w:hint="eastAsia" w:ascii="宋体" w:hAnsi="宋体" w:eastAsia="宋体" w:cs="楷体"/>
          <w:color w:val="auto"/>
          <w:spacing w:val="-6"/>
          <w:sz w:val="24"/>
          <w:highlight w:val="none"/>
          <w:u w:val="single"/>
        </w:rPr>
        <w:t xml:space="preserve"> 17</w:t>
      </w:r>
      <w:r>
        <w:rPr>
          <w:rFonts w:hint="eastAsia" w:ascii="宋体" w:hAnsi="宋体" w:eastAsia="宋体" w:cs="楷体"/>
          <w:color w:val="auto"/>
          <w:spacing w:val="-6"/>
          <w:sz w:val="24"/>
          <w:highlight w:val="none"/>
        </w:rPr>
        <w:t>时</w:t>
      </w:r>
      <w:r>
        <w:rPr>
          <w:rFonts w:hint="eastAsia" w:ascii="宋体" w:hAnsi="宋体" w:eastAsia="宋体" w:cs="楷体"/>
          <w:color w:val="auto"/>
          <w:spacing w:val="-6"/>
          <w:sz w:val="24"/>
          <w:highlight w:val="none"/>
          <w:u w:val="single"/>
        </w:rPr>
        <w:t>00</w:t>
      </w:r>
      <w:r>
        <w:rPr>
          <w:rFonts w:hint="eastAsia" w:ascii="宋体" w:hAnsi="宋体" w:eastAsia="宋体" w:cs="楷体"/>
          <w:color w:val="auto"/>
          <w:spacing w:val="-6"/>
          <w:sz w:val="24"/>
          <w:highlight w:val="none"/>
          <w:u w:val="none"/>
        </w:rPr>
        <w:t>分</w:t>
      </w:r>
      <w:r>
        <w:rPr>
          <w:rFonts w:hint="eastAsia" w:ascii="宋体" w:hAnsi="宋体" w:eastAsia="宋体" w:cs="楷体"/>
          <w:color w:val="auto"/>
          <w:spacing w:val="-6"/>
          <w:sz w:val="24"/>
          <w:highlight w:val="none"/>
        </w:rPr>
        <w:t>前</w:t>
      </w:r>
      <w:r>
        <w:rPr>
          <w:rFonts w:ascii="宋体" w:hAnsi="宋体" w:eastAsia="宋体" w:cs="宋体"/>
          <w:snapToGrid/>
          <w:color w:val="auto"/>
          <w:kern w:val="0"/>
          <w:sz w:val="24"/>
          <w:szCs w:val="24"/>
          <w:highlight w:val="none"/>
          <w:lang w:eastAsia="zh-CN"/>
        </w:rPr>
        <w:t>以书面信函形式向招标人</w:t>
      </w:r>
      <w:r>
        <w:rPr>
          <w:rFonts w:hint="eastAsia" w:ascii="宋体" w:hAnsi="宋体" w:eastAsia="宋体" w:cs="宋体"/>
          <w:snapToGrid/>
          <w:color w:val="auto"/>
          <w:kern w:val="0"/>
          <w:sz w:val="24"/>
          <w:szCs w:val="24"/>
          <w:highlight w:val="none"/>
          <w:lang w:eastAsia="zh-CN"/>
        </w:rPr>
        <w:t>或招标代理机构</w:t>
      </w:r>
      <w:r>
        <w:rPr>
          <w:rFonts w:ascii="宋体" w:hAnsi="宋体" w:eastAsia="宋体" w:cs="宋体"/>
          <w:snapToGrid/>
          <w:color w:val="auto"/>
          <w:kern w:val="0"/>
          <w:sz w:val="24"/>
          <w:szCs w:val="24"/>
          <w:highlight w:val="none"/>
          <w:lang w:eastAsia="zh-CN"/>
        </w:rPr>
        <w:t>提出疑问</w:t>
      </w:r>
      <w:r>
        <w:rPr>
          <w:rFonts w:hint="eastAsia" w:ascii="宋体" w:hAnsi="宋体" w:eastAsia="宋体" w:cs="宋体"/>
          <w:snapToGrid/>
          <w:color w:val="auto"/>
          <w:kern w:val="2"/>
          <w:sz w:val="24"/>
          <w:szCs w:val="24"/>
          <w:highlight w:val="none"/>
          <w:lang w:eastAsia="zh-CN"/>
        </w:rPr>
        <w:t>（应列明招标编号、项目名称并加盖公章）。</w:t>
      </w:r>
    </w:p>
    <w:p w14:paraId="62F49FEB">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楷体"/>
          <w:color w:val="auto"/>
          <w:sz w:val="24"/>
          <w:highlight w:val="none"/>
          <w:lang w:eastAsia="zh-Hans"/>
        </w:rPr>
      </w:pPr>
      <w:r>
        <w:rPr>
          <w:rFonts w:hint="eastAsia" w:ascii="宋体" w:hAnsi="宋体" w:eastAsia="宋体" w:cs="楷体"/>
          <w:color w:val="auto"/>
          <w:sz w:val="24"/>
          <w:highlight w:val="none"/>
          <w:lang w:val="en-US" w:eastAsia="zh-CN"/>
        </w:rPr>
        <w:t>8.</w:t>
      </w:r>
      <w:r>
        <w:rPr>
          <w:rFonts w:hint="eastAsia" w:ascii="宋体" w:hAnsi="宋体" w:eastAsia="宋体" w:cs="楷体"/>
          <w:color w:val="auto"/>
          <w:sz w:val="24"/>
          <w:highlight w:val="none"/>
          <w:lang w:eastAsia="zh-Hans"/>
        </w:rPr>
        <w:t>2对于投标人提出的有关本招标项目的所有要求澄清的问题，包括质疑的招标文件相关条款，招标人将认真答复，确属不合理条款或存在差错的将在答疑时予以删除、修改。</w:t>
      </w:r>
    </w:p>
    <w:p w14:paraId="1CD07E8C">
      <w:pPr>
        <w:keepNext w:val="0"/>
        <w:keepLines w:val="0"/>
        <w:pageBreakBefore w:val="0"/>
        <w:tabs>
          <w:tab w:val="left" w:pos="0"/>
        </w:tabs>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楷体"/>
          <w:color w:val="auto"/>
          <w:sz w:val="24"/>
          <w:highlight w:val="none"/>
        </w:rPr>
      </w:pPr>
      <w:r>
        <w:rPr>
          <w:rFonts w:hint="eastAsia" w:ascii="宋体" w:hAnsi="宋体" w:eastAsia="宋体" w:cs="楷体"/>
          <w:color w:val="auto"/>
          <w:sz w:val="24"/>
          <w:highlight w:val="none"/>
          <w:lang w:val="en-US" w:eastAsia="zh-CN"/>
        </w:rPr>
        <w:t>8</w:t>
      </w:r>
      <w:r>
        <w:rPr>
          <w:rFonts w:hint="eastAsia" w:ascii="宋体" w:hAnsi="宋体" w:eastAsia="宋体" w:cs="楷体"/>
          <w:color w:val="auto"/>
          <w:sz w:val="24"/>
          <w:highlight w:val="none"/>
        </w:rPr>
        <w:t>.3投标人应认真对照施工图设计文件核对招标人提供的工程量清单，发现工程量清单存在差错、漏项的，应在规定时间内向招标人提出，</w:t>
      </w:r>
      <w:r>
        <w:rPr>
          <w:rFonts w:hint="eastAsia" w:ascii="宋体" w:hAnsi="宋体" w:eastAsia="宋体" w:cs="楷体"/>
          <w:color w:val="auto"/>
          <w:sz w:val="24"/>
          <w:highlight w:val="none"/>
          <w:lang w:eastAsia="zh-Hans"/>
        </w:rPr>
        <w:t>招标人</w:t>
      </w:r>
      <w:r>
        <w:rPr>
          <w:rFonts w:hint="eastAsia" w:ascii="宋体" w:hAnsi="宋体" w:eastAsia="宋体" w:cs="楷体"/>
          <w:color w:val="auto"/>
          <w:sz w:val="24"/>
          <w:highlight w:val="none"/>
        </w:rPr>
        <w:t>经</w:t>
      </w:r>
      <w:r>
        <w:rPr>
          <w:rFonts w:hint="eastAsia" w:ascii="宋体" w:hAnsi="宋体" w:eastAsia="宋体" w:cs="楷体"/>
          <w:color w:val="auto"/>
          <w:sz w:val="24"/>
          <w:highlight w:val="none"/>
          <w:lang w:eastAsia="zh-Hans"/>
        </w:rPr>
        <w:t>核实确认，工程</w:t>
      </w:r>
      <w:r>
        <w:rPr>
          <w:rFonts w:hint="eastAsia" w:ascii="宋体" w:hAnsi="宋体" w:eastAsia="宋体" w:cs="楷体"/>
          <w:color w:val="auto"/>
          <w:sz w:val="24"/>
          <w:highlight w:val="none"/>
        </w:rPr>
        <w:t>预算价</w:t>
      </w:r>
      <w:r>
        <w:rPr>
          <w:rFonts w:hint="eastAsia" w:ascii="宋体" w:hAnsi="宋体" w:eastAsia="宋体" w:cs="楷体"/>
          <w:color w:val="auto"/>
          <w:sz w:val="24"/>
          <w:highlight w:val="none"/>
          <w:lang w:eastAsia="zh-Hans"/>
        </w:rPr>
        <w:t>中单项子目工程量误差在±1%(含±1%)以内、且造价不超过1000元的，可不予调整工程量，投标人应将其误差考虑在综合单价内；若单项子目工程量误差在±1%(含±1%)以内、但造价超过1000元，或有遗漏项目或单项子目工程量误差超过±1%的，招标人将进行修正</w:t>
      </w:r>
      <w:r>
        <w:rPr>
          <w:rFonts w:hint="eastAsia" w:ascii="宋体" w:hAnsi="宋体" w:eastAsia="宋体" w:cs="楷体"/>
          <w:color w:val="auto"/>
          <w:sz w:val="24"/>
          <w:highlight w:val="none"/>
        </w:rPr>
        <w:t>。对于工程预算价中的材料和设备的单价</w:t>
      </w:r>
      <w:r>
        <w:rPr>
          <w:rFonts w:hint="eastAsia" w:ascii="宋体" w:hAnsi="宋体" w:eastAsia="宋体" w:cs="楷体"/>
          <w:color w:val="auto"/>
          <w:sz w:val="24"/>
          <w:highlight w:val="none"/>
          <w:lang w:eastAsia="zh-Hans"/>
        </w:rPr>
        <w:t>存在</w:t>
      </w:r>
      <w:r>
        <w:rPr>
          <w:rFonts w:hint="eastAsia" w:ascii="宋体" w:hAnsi="宋体" w:eastAsia="宋体" w:cs="楷体"/>
          <w:color w:val="auto"/>
          <w:sz w:val="24"/>
          <w:highlight w:val="none"/>
        </w:rPr>
        <w:t>误差、工程取费费率出现差错的，招标人一并予以修正。经</w:t>
      </w:r>
      <w:r>
        <w:rPr>
          <w:rFonts w:hint="eastAsia" w:ascii="宋体" w:hAnsi="宋体" w:eastAsia="宋体" w:cs="楷体"/>
          <w:color w:val="auto"/>
          <w:sz w:val="24"/>
          <w:highlight w:val="none"/>
          <w:lang w:eastAsia="zh-Hans"/>
        </w:rPr>
        <w:t>修正后的工程</w:t>
      </w:r>
      <w:r>
        <w:rPr>
          <w:rFonts w:hint="eastAsia" w:ascii="宋体" w:hAnsi="宋体" w:eastAsia="宋体" w:cs="楷体"/>
          <w:color w:val="auto"/>
          <w:sz w:val="24"/>
          <w:highlight w:val="none"/>
        </w:rPr>
        <w:t>预算价</w:t>
      </w:r>
      <w:r>
        <w:rPr>
          <w:rFonts w:hint="eastAsia" w:ascii="宋体" w:hAnsi="宋体" w:eastAsia="宋体" w:cs="楷体"/>
          <w:color w:val="auto"/>
          <w:sz w:val="24"/>
          <w:highlight w:val="none"/>
          <w:lang w:eastAsia="zh-Hans"/>
        </w:rPr>
        <w:t>作为</w:t>
      </w:r>
      <w:r>
        <w:rPr>
          <w:rFonts w:hint="eastAsia" w:ascii="宋体" w:hAnsi="宋体" w:eastAsia="宋体" w:cs="楷体"/>
          <w:color w:val="auto"/>
          <w:sz w:val="24"/>
          <w:highlight w:val="none"/>
        </w:rPr>
        <w:t>招标</w:t>
      </w:r>
      <w:r>
        <w:rPr>
          <w:rFonts w:hint="eastAsia" w:ascii="宋体" w:hAnsi="宋体" w:eastAsia="宋体" w:cs="楷体"/>
          <w:color w:val="auto"/>
          <w:sz w:val="24"/>
          <w:highlight w:val="none"/>
          <w:lang w:eastAsia="zh-Hans"/>
        </w:rPr>
        <w:t>答疑内容的组成部</w:t>
      </w:r>
      <w:r>
        <w:rPr>
          <w:rFonts w:hint="eastAsia" w:ascii="宋体" w:hAnsi="宋体" w:eastAsia="宋体" w:cs="楷体"/>
          <w:color w:val="auto"/>
          <w:sz w:val="24"/>
          <w:highlight w:val="none"/>
        </w:rPr>
        <w:t>分</w:t>
      </w:r>
      <w:r>
        <w:rPr>
          <w:rFonts w:hint="eastAsia" w:ascii="宋体" w:hAnsi="宋体" w:eastAsia="宋体" w:cs="楷体"/>
          <w:color w:val="auto"/>
          <w:sz w:val="24"/>
          <w:highlight w:val="none"/>
          <w:lang w:eastAsia="zh-Hans"/>
        </w:rPr>
        <w:t>一并公布。</w:t>
      </w:r>
    </w:p>
    <w:p w14:paraId="47DA980F">
      <w:pPr>
        <w:keepNext w:val="0"/>
        <w:keepLines w:val="0"/>
        <w:pageBreakBefore w:val="0"/>
        <w:widowControl w:val="0"/>
        <w:tabs>
          <w:tab w:val="left" w:pos="0"/>
        </w:tabs>
        <w:kinsoku/>
        <w:wordWrap w:val="0"/>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Times New Roman"/>
          <w:color w:val="auto"/>
          <w:spacing w:val="-6"/>
          <w:sz w:val="24"/>
          <w:highlight w:val="none"/>
        </w:rPr>
      </w:pPr>
      <w:r>
        <w:rPr>
          <w:rFonts w:hint="eastAsia" w:ascii="宋体" w:hAnsi="宋体" w:eastAsia="宋体" w:cs="楷体"/>
          <w:color w:val="auto"/>
          <w:sz w:val="24"/>
          <w:highlight w:val="none"/>
          <w:lang w:val="en-US" w:eastAsia="zh-CN"/>
        </w:rPr>
        <w:t>8</w:t>
      </w:r>
      <w:r>
        <w:rPr>
          <w:rFonts w:hint="eastAsia" w:ascii="宋体" w:hAnsi="宋体" w:eastAsia="宋体" w:cs="楷体"/>
          <w:color w:val="auto"/>
          <w:sz w:val="24"/>
          <w:highlight w:val="none"/>
        </w:rPr>
        <w:t>.4招标人将在</w:t>
      </w:r>
      <w:r>
        <w:rPr>
          <w:rFonts w:hint="eastAsia" w:ascii="宋体" w:hAnsi="宋体" w:cs="楷体"/>
          <w:color w:val="auto"/>
          <w:spacing w:val="-6"/>
          <w:sz w:val="24"/>
          <w:highlight w:val="none"/>
          <w:u w:val="single"/>
          <w:lang w:val="en-US" w:eastAsia="zh-CN"/>
        </w:rPr>
        <w:t>2025</w:t>
      </w:r>
      <w:r>
        <w:rPr>
          <w:rFonts w:hint="eastAsia" w:ascii="宋体" w:hAnsi="宋体" w:eastAsia="宋体" w:cs="楷体"/>
          <w:color w:val="auto"/>
          <w:spacing w:val="-6"/>
          <w:sz w:val="24"/>
          <w:highlight w:val="none"/>
        </w:rPr>
        <w:t>年</w:t>
      </w:r>
      <w:r>
        <w:rPr>
          <w:rFonts w:hint="eastAsia" w:ascii="宋体" w:hAnsi="宋体" w:cs="楷体"/>
          <w:color w:val="auto"/>
          <w:spacing w:val="-6"/>
          <w:sz w:val="24"/>
          <w:highlight w:val="none"/>
          <w:u w:val="single"/>
          <w:lang w:val="en-US" w:eastAsia="zh-CN"/>
        </w:rPr>
        <w:t xml:space="preserve"> 11 </w:t>
      </w:r>
      <w:r>
        <w:rPr>
          <w:rFonts w:hint="eastAsia" w:ascii="宋体" w:hAnsi="宋体" w:eastAsia="宋体" w:cs="楷体"/>
          <w:color w:val="auto"/>
          <w:spacing w:val="-6"/>
          <w:sz w:val="24"/>
          <w:highlight w:val="none"/>
        </w:rPr>
        <w:t>月</w:t>
      </w:r>
      <w:r>
        <w:rPr>
          <w:rFonts w:hint="eastAsia" w:ascii="宋体" w:hAnsi="宋体" w:cs="楷体"/>
          <w:color w:val="auto"/>
          <w:spacing w:val="-6"/>
          <w:sz w:val="24"/>
          <w:highlight w:val="none"/>
          <w:u w:val="single"/>
          <w:lang w:val="en-US" w:eastAsia="zh-CN"/>
        </w:rPr>
        <w:t xml:space="preserve"> 11 </w:t>
      </w:r>
      <w:r>
        <w:rPr>
          <w:rFonts w:hint="eastAsia" w:ascii="宋体" w:hAnsi="宋体" w:eastAsia="宋体" w:cs="楷体"/>
          <w:color w:val="auto"/>
          <w:spacing w:val="-6"/>
          <w:sz w:val="24"/>
          <w:highlight w:val="none"/>
        </w:rPr>
        <w:t>日</w:t>
      </w:r>
      <w:r>
        <w:rPr>
          <w:rFonts w:hint="eastAsia" w:ascii="宋体" w:hAnsi="宋体" w:eastAsia="宋体" w:cs="楷体"/>
          <w:color w:val="auto"/>
          <w:spacing w:val="-6"/>
          <w:sz w:val="24"/>
          <w:highlight w:val="none"/>
          <w:u w:val="single"/>
        </w:rPr>
        <w:t xml:space="preserve"> 17 </w:t>
      </w:r>
      <w:r>
        <w:rPr>
          <w:rFonts w:hint="eastAsia" w:ascii="宋体" w:hAnsi="宋体" w:eastAsia="宋体" w:cs="楷体"/>
          <w:color w:val="auto"/>
          <w:spacing w:val="-6"/>
          <w:sz w:val="24"/>
          <w:highlight w:val="none"/>
        </w:rPr>
        <w:t>时</w:t>
      </w:r>
      <w:r>
        <w:rPr>
          <w:rFonts w:hint="eastAsia" w:ascii="宋体" w:hAnsi="宋体" w:eastAsia="宋体" w:cs="楷体"/>
          <w:color w:val="auto"/>
          <w:spacing w:val="-6"/>
          <w:sz w:val="24"/>
          <w:highlight w:val="none"/>
          <w:u w:val="single"/>
        </w:rPr>
        <w:t xml:space="preserve"> 30</w:t>
      </w:r>
      <w:r>
        <w:rPr>
          <w:rFonts w:hint="eastAsia" w:ascii="宋体" w:hAnsi="宋体" w:eastAsia="宋体" w:cs="楷体"/>
          <w:color w:val="auto"/>
          <w:spacing w:val="-6"/>
          <w:sz w:val="24"/>
          <w:highlight w:val="none"/>
          <w:u w:val="none"/>
        </w:rPr>
        <w:t>分</w:t>
      </w:r>
      <w:r>
        <w:rPr>
          <w:rFonts w:hint="eastAsia" w:ascii="宋体" w:hAnsi="宋体" w:eastAsia="宋体" w:cs="楷体"/>
          <w:color w:val="auto"/>
          <w:spacing w:val="-6"/>
          <w:sz w:val="24"/>
          <w:highlight w:val="none"/>
        </w:rPr>
        <w:t>前</w:t>
      </w:r>
      <w:r>
        <w:rPr>
          <w:rFonts w:hint="eastAsia" w:ascii="宋体" w:hAnsi="宋体" w:eastAsia="宋体" w:cs="Times New Roman"/>
          <w:color w:val="auto"/>
          <w:spacing w:val="-6"/>
          <w:sz w:val="24"/>
          <w:highlight w:val="none"/>
        </w:rPr>
        <w:t>发布招标文件的答疑、澄清、修改或补充文件。</w:t>
      </w:r>
    </w:p>
    <w:p w14:paraId="1B5D5259">
      <w:pPr>
        <w:keepNext w:val="0"/>
        <w:keepLines w:val="0"/>
        <w:pageBreakBefore w:val="0"/>
        <w:widowControl w:val="0"/>
        <w:shd w:val="clear" w:color="auto" w:fill="auto"/>
        <w:tabs>
          <w:tab w:val="left" w:pos="0"/>
        </w:tabs>
        <w:kinsoku/>
        <w:overflowPunct/>
        <w:topLinePunct w:val="0"/>
        <w:autoSpaceDE/>
        <w:autoSpaceDN/>
        <w:bidi w:val="0"/>
        <w:adjustRightInd/>
        <w:snapToGrid/>
        <w:spacing w:line="440" w:lineRule="exact"/>
        <w:ind w:left="0" w:leftChars="0" w:firstLine="482" w:firstLineChars="200"/>
        <w:jc w:val="both"/>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w:t>
      </w:r>
      <w:r>
        <w:rPr>
          <w:rFonts w:hint="eastAsia" w:ascii="宋体" w:hAnsi="宋体" w:eastAsia="宋体" w:cs="宋体"/>
          <w:b/>
          <w:bCs/>
          <w:color w:val="auto"/>
          <w:sz w:val="24"/>
          <w:highlight w:val="none"/>
        </w:rPr>
        <w:t>.工程预算价</w:t>
      </w:r>
      <w:r>
        <w:rPr>
          <w:rFonts w:hint="eastAsia" w:ascii="宋体" w:hAnsi="宋体" w:eastAsia="宋体" w:cs="宋体"/>
          <w:b/>
          <w:bCs/>
          <w:color w:val="auto"/>
          <w:sz w:val="24"/>
          <w:highlight w:val="none"/>
          <w:lang w:val="en-US" w:eastAsia="zh-CN"/>
        </w:rPr>
        <w:t>及发包价</w:t>
      </w:r>
    </w:p>
    <w:p w14:paraId="746F7086">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.1工程</w:t>
      </w:r>
      <w:r>
        <w:rPr>
          <w:rFonts w:hint="eastAsia" w:ascii="宋体" w:hAnsi="宋体" w:eastAsia="宋体" w:cs="宋体"/>
          <w:bCs/>
          <w:color w:val="auto"/>
          <w:sz w:val="24"/>
          <w:highlight w:val="none"/>
          <w:lang w:val="en-US" w:eastAsia="zh-CN"/>
        </w:rPr>
        <w:t>审后</w:t>
      </w:r>
      <w:r>
        <w:rPr>
          <w:rFonts w:hint="eastAsia" w:ascii="宋体" w:hAnsi="宋体" w:eastAsia="宋体" w:cs="宋体"/>
          <w:bCs/>
          <w:color w:val="auto"/>
          <w:sz w:val="24"/>
          <w:highlight w:val="none"/>
        </w:rPr>
        <w:t>预算价</w:t>
      </w:r>
    </w:p>
    <w:p w14:paraId="0A80B597">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本招标项目的工程</w:t>
      </w:r>
      <w:r>
        <w:rPr>
          <w:rFonts w:hint="eastAsia" w:ascii="宋体" w:hAnsi="宋体" w:eastAsia="宋体" w:cs="宋体"/>
          <w:bCs/>
          <w:color w:val="auto"/>
          <w:sz w:val="24"/>
          <w:highlight w:val="none"/>
          <w:lang w:val="en-US" w:eastAsia="zh-CN"/>
        </w:rPr>
        <w:t>审后</w:t>
      </w:r>
      <w:r>
        <w:rPr>
          <w:rFonts w:hint="eastAsia" w:ascii="宋体" w:hAnsi="宋体" w:eastAsia="宋体" w:cs="宋体"/>
          <w:bCs/>
          <w:color w:val="auto"/>
          <w:sz w:val="24"/>
          <w:highlight w:val="none"/>
        </w:rPr>
        <w:t>预算价为</w:t>
      </w:r>
      <w:r>
        <w:rPr>
          <w:rFonts w:hint="eastAsia" w:ascii="宋体" w:hAnsi="宋体" w:cs="宋体"/>
          <w:b/>
          <w:bCs/>
          <w:color w:val="auto"/>
          <w:sz w:val="24"/>
          <w:highlight w:val="none"/>
          <w:u w:val="single"/>
          <w:lang w:val="en-US" w:eastAsia="zh-CN"/>
        </w:rPr>
        <w:t xml:space="preserve"> 3989987 </w:t>
      </w:r>
      <w:r>
        <w:rPr>
          <w:rFonts w:hint="eastAsia" w:ascii="宋体" w:hAnsi="宋体" w:eastAsia="宋体" w:cs="宋体"/>
          <w:bCs/>
          <w:color w:val="auto"/>
          <w:sz w:val="24"/>
          <w:highlight w:val="none"/>
        </w:rPr>
        <w:t>元(人民币)</w:t>
      </w:r>
      <w:r>
        <w:rPr>
          <w:rFonts w:hint="eastAsia" w:ascii="宋体" w:hAnsi="宋体" w:eastAsia="宋体" w:cs="宋体"/>
          <w:color w:val="auto"/>
          <w:sz w:val="24"/>
          <w:highlight w:val="none"/>
        </w:rPr>
        <w:t>。</w:t>
      </w:r>
    </w:p>
    <w:p w14:paraId="1236B2AA">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9</w:t>
      </w:r>
      <w:r>
        <w:rPr>
          <w:rFonts w:hint="eastAsia" w:ascii="宋体" w:hAnsi="宋体" w:eastAsia="宋体" w:cs="宋体"/>
          <w:bCs/>
          <w:color w:val="auto"/>
          <w:sz w:val="24"/>
          <w:highlight w:val="none"/>
        </w:rPr>
        <w:t>.2工程发包价</w:t>
      </w:r>
    </w:p>
    <w:p w14:paraId="18F318D9">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本招标项目的工程发包价按以下公式计算：</w:t>
      </w:r>
    </w:p>
    <w:p w14:paraId="00EADAE3">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工程发包价为</w:t>
      </w:r>
      <w:r>
        <w:rPr>
          <w:rFonts w:hint="eastAsia" w:ascii="宋体" w:hAnsi="宋体" w:eastAsia="宋体" w:cs="宋体"/>
          <w:b/>
          <w:bCs/>
          <w:color w:val="auto"/>
          <w:sz w:val="24"/>
          <w:szCs w:val="24"/>
          <w:highlight w:val="none"/>
          <w:u w:val="single"/>
          <w:lang w:val="en-US" w:eastAsia="zh-CN"/>
        </w:rPr>
        <w:t xml:space="preserve"> 3471288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元(人民币)。</w:t>
      </w:r>
    </w:p>
    <w:p w14:paraId="244F21A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64" w:firstLineChars="200"/>
        <w:jc w:val="both"/>
        <w:textAlignment w:val="auto"/>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本招标项目的工程发包价按以下公式计算：</w:t>
      </w:r>
    </w:p>
    <w:p w14:paraId="02A17DB1">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本招标项目的工程预算价下浮率为</w:t>
      </w:r>
      <w:r>
        <w:rPr>
          <w:rFonts w:hint="eastAsia" w:ascii="宋体" w:hAnsi="宋体" w:cs="宋体"/>
          <w:color w:val="auto"/>
          <w:sz w:val="24"/>
          <w:szCs w:val="24"/>
          <w:highlight w:val="none"/>
          <w:lang w:val="en-US" w:eastAsia="zh-CN"/>
        </w:rPr>
        <w:t xml:space="preserve"> 13 </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p>
    <w:p w14:paraId="759F55A4">
      <w:pPr>
        <w:keepNext w:val="0"/>
        <w:keepLines w:val="0"/>
        <w:pageBreakBefore w:val="0"/>
        <w:widowControl w:val="0"/>
        <w:shd w:val="clear" w:color="auto" w:fill="auto"/>
        <w:kinsoku/>
        <w:wordWrap/>
        <w:overflowPunct/>
        <w:topLinePunct w:val="0"/>
        <w:autoSpaceDE/>
        <w:autoSpaceDN/>
        <w:bidi w:val="0"/>
        <w:adjustRightInd/>
        <w:snapToGrid/>
        <w:spacing w:line="440" w:lineRule="exact"/>
        <w:ind w:left="0" w:leftChars="0" w:firstLine="456"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工程发包价= 工程预算审核价×(1-下浮率)</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3989987</w:t>
      </w: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 xml:space="preserve"> 13 </w:t>
      </w:r>
      <w:r>
        <w:rPr>
          <w:rFonts w:hint="eastAsia" w:ascii="宋体" w:hAnsi="宋体" w:eastAsia="宋体" w:cs="宋体"/>
          <w:color w:val="auto"/>
          <w:sz w:val="24"/>
          <w:szCs w:val="24"/>
          <w:highlight w:val="none"/>
          <w:lang w:eastAsia="zh-CN"/>
        </w:rPr>
        <w:t>%)</w:t>
      </w:r>
    </w:p>
    <w:p w14:paraId="2B6A8D70">
      <w:pPr>
        <w:keepNext w:val="0"/>
        <w:keepLines w:val="0"/>
        <w:pageBreakBefore w:val="0"/>
        <w:widowControl w:val="0"/>
        <w:shd w:val="clear" w:color="auto" w:fill="auto"/>
        <w:kinsoku/>
        <w:wordWrap/>
        <w:overflowPunct/>
        <w:topLinePunct w:val="0"/>
        <w:autoSpaceDE/>
        <w:autoSpaceDN/>
        <w:bidi w:val="0"/>
        <w:adjustRightInd/>
        <w:snapToGrid/>
        <w:spacing w:line="440" w:lineRule="exact"/>
        <w:ind w:firstLine="4800" w:firstLineChars="20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3471288</w:t>
      </w:r>
      <w:r>
        <w:rPr>
          <w:rFonts w:hint="eastAsia" w:ascii="宋体" w:hAnsi="宋体" w:eastAsia="宋体" w:cs="宋体"/>
          <w:color w:val="auto"/>
          <w:sz w:val="24"/>
          <w:szCs w:val="24"/>
          <w:highlight w:val="none"/>
          <w:lang w:eastAsia="zh-CN"/>
        </w:rPr>
        <w:t>元</w:t>
      </w:r>
    </w:p>
    <w:p w14:paraId="74A07D87">
      <w:pPr>
        <w:keepNext w:val="0"/>
        <w:keepLines w:val="0"/>
        <w:pageBreakBefore w:val="0"/>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rPr>
        <w:t>. 合同承包价</w:t>
      </w:r>
    </w:p>
    <w:p w14:paraId="1F911524">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10</w:t>
      </w:r>
      <w:r>
        <w:rPr>
          <w:rFonts w:hint="eastAsia" w:ascii="宋体" w:hAnsi="宋体" w:eastAsia="宋体" w:cs="Times New Roman"/>
          <w:color w:val="auto"/>
          <w:sz w:val="24"/>
          <w:highlight w:val="none"/>
        </w:rPr>
        <w:t>.1 中标人须按招标人公布的发包价承包施工工程。</w:t>
      </w:r>
    </w:p>
    <w:p w14:paraId="57D1E829">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cs="Times New Roman"/>
          <w:color w:val="auto"/>
          <w:sz w:val="24"/>
          <w:highlight w:val="none"/>
          <w:lang w:val="en-US" w:eastAsia="zh-CN"/>
        </w:rPr>
        <w:t>10</w:t>
      </w:r>
      <w:r>
        <w:rPr>
          <w:rFonts w:hint="eastAsia" w:ascii="宋体" w:hAnsi="宋体" w:eastAsia="宋体" w:cs="Times New Roman"/>
          <w:color w:val="auto"/>
          <w:sz w:val="24"/>
          <w:highlight w:val="none"/>
        </w:rPr>
        <w:t xml:space="preserve">.2 </w:t>
      </w:r>
      <w:r>
        <w:rPr>
          <w:rFonts w:hint="eastAsia" w:ascii="宋体" w:hAnsi="宋体" w:eastAsia="宋体" w:cs="宋体"/>
          <w:color w:val="auto"/>
          <w:sz w:val="24"/>
          <w:highlight w:val="none"/>
        </w:rPr>
        <w:t>若审计部门对项目进行审计，审计部门的审核结论应该作为最终结算的依据。</w:t>
      </w:r>
    </w:p>
    <w:p w14:paraId="79222C9F">
      <w:pPr>
        <w:keepNext w:val="0"/>
        <w:keepLines w:val="0"/>
        <w:pageBreakBefore w:val="0"/>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 投标保证金</w:t>
      </w:r>
    </w:p>
    <w:p w14:paraId="697D230C">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11</w:t>
      </w:r>
      <w:r>
        <w:rPr>
          <w:rFonts w:hint="eastAsia" w:ascii="宋体" w:hAnsi="宋体" w:eastAsia="宋体" w:cs="宋体"/>
          <w:color w:val="auto"/>
          <w:sz w:val="24"/>
          <w:highlight w:val="none"/>
          <w:u w:val="none"/>
          <w:lang w:val="en-US" w:eastAsia="zh-CN"/>
        </w:rPr>
        <w:t>.1投标保证金的递交：投标保证金金额为人民币</w:t>
      </w:r>
      <w:r>
        <w:rPr>
          <w:rFonts w:hint="eastAsia" w:ascii="宋体" w:hAnsi="宋体" w:eastAsia="宋体" w:cs="宋体"/>
          <w:b/>
          <w:bCs/>
          <w:i w:val="0"/>
          <w:iCs w:val="0"/>
          <w:color w:val="auto"/>
          <w:sz w:val="24"/>
          <w:highlight w:val="none"/>
          <w:u w:val="single"/>
          <w:lang w:val="en-US" w:eastAsia="zh-CN"/>
        </w:rPr>
        <w:fldChar w:fldCharType="begin"/>
      </w:r>
      <w:r>
        <w:rPr>
          <w:rFonts w:hint="eastAsia" w:ascii="宋体" w:hAnsi="宋体" w:eastAsia="宋体" w:cs="宋体"/>
          <w:b/>
          <w:bCs/>
          <w:i w:val="0"/>
          <w:iCs w:val="0"/>
          <w:color w:val="auto"/>
          <w:sz w:val="24"/>
          <w:highlight w:val="none"/>
          <w:u w:val="single"/>
          <w:lang w:val="en-US" w:eastAsia="zh-CN"/>
        </w:rPr>
        <w:instrText xml:space="preserve"> = 75000 \* CHINESENUM4 \* MERGEFORMAT </w:instrText>
      </w:r>
      <w:r>
        <w:rPr>
          <w:rFonts w:hint="eastAsia" w:ascii="宋体" w:hAnsi="宋体" w:eastAsia="宋体" w:cs="宋体"/>
          <w:b/>
          <w:bCs/>
          <w:i w:val="0"/>
          <w:iCs w:val="0"/>
          <w:color w:val="auto"/>
          <w:sz w:val="24"/>
          <w:highlight w:val="none"/>
          <w:u w:val="single"/>
          <w:lang w:val="en-US" w:eastAsia="zh-CN"/>
        </w:rPr>
        <w:fldChar w:fldCharType="separate"/>
      </w:r>
      <w:r>
        <w:rPr>
          <w:rFonts w:hint="eastAsia" w:ascii="宋体" w:hAnsi="宋体" w:eastAsia="宋体" w:cs="宋体"/>
          <w:b/>
          <w:bCs/>
          <w:i w:val="0"/>
          <w:iCs w:val="0"/>
          <w:color w:val="auto"/>
          <w:sz w:val="24"/>
          <w:highlight w:val="none"/>
          <w:u w:val="single"/>
        </w:rPr>
        <w:fldChar w:fldCharType="begin"/>
      </w:r>
      <w:r>
        <w:rPr>
          <w:rFonts w:hint="eastAsia" w:ascii="宋体" w:hAnsi="宋体" w:eastAsia="宋体" w:cs="宋体"/>
          <w:b/>
          <w:bCs/>
          <w:i w:val="0"/>
          <w:iCs w:val="0"/>
          <w:color w:val="auto"/>
          <w:sz w:val="24"/>
          <w:highlight w:val="none"/>
          <w:u w:val="single"/>
        </w:rPr>
        <w:instrText xml:space="preserve"> = 69000 \* CHINESENUM4 \* MERGEFORMAT </w:instrText>
      </w:r>
      <w:r>
        <w:rPr>
          <w:rFonts w:hint="eastAsia" w:ascii="宋体" w:hAnsi="宋体" w:eastAsia="宋体" w:cs="宋体"/>
          <w:b/>
          <w:bCs/>
          <w:i w:val="0"/>
          <w:iCs w:val="0"/>
          <w:color w:val="auto"/>
          <w:sz w:val="24"/>
          <w:highlight w:val="none"/>
          <w:u w:val="single"/>
        </w:rPr>
        <w:fldChar w:fldCharType="separate"/>
      </w:r>
      <w:r>
        <w:rPr>
          <w:rFonts w:hint="eastAsia" w:ascii="宋体" w:hAnsi="宋体" w:eastAsia="宋体" w:cs="宋体"/>
          <w:b/>
          <w:bCs/>
          <w:i w:val="0"/>
          <w:iCs w:val="0"/>
          <w:color w:val="auto"/>
          <w:sz w:val="24"/>
          <w:highlight w:val="none"/>
          <w:u w:val="single"/>
        </w:rPr>
        <w:t>陆万玖仟元整</w:t>
      </w:r>
      <w:r>
        <w:rPr>
          <w:rFonts w:hint="eastAsia" w:ascii="宋体" w:hAnsi="宋体" w:eastAsia="宋体" w:cs="宋体"/>
          <w:b/>
          <w:bCs/>
          <w:i w:val="0"/>
          <w:iCs w:val="0"/>
          <w:color w:val="auto"/>
          <w:sz w:val="24"/>
          <w:highlight w:val="none"/>
          <w:u w:val="single"/>
        </w:rPr>
        <w:fldChar w:fldCharType="end"/>
      </w:r>
      <w:r>
        <w:rPr>
          <w:rFonts w:hint="eastAsia" w:ascii="宋体" w:hAnsi="宋体" w:eastAsia="宋体" w:cs="宋体"/>
          <w:b/>
          <w:bCs/>
          <w:i w:val="0"/>
          <w:iCs w:val="0"/>
          <w:color w:val="auto"/>
          <w:sz w:val="24"/>
          <w:highlight w:val="none"/>
          <w:u w:val="single"/>
          <w:lang w:val="en-US" w:eastAsia="zh-CN"/>
        </w:rPr>
        <w:fldChar w:fldCharType="end"/>
      </w:r>
      <w:r>
        <w:rPr>
          <w:rFonts w:hint="eastAsia" w:ascii="宋体" w:hAnsi="宋体" w:eastAsia="宋体" w:cs="宋体"/>
          <w:color w:val="auto"/>
          <w:sz w:val="24"/>
          <w:highlight w:val="none"/>
          <w:u w:val="none"/>
          <w:lang w:val="en-US" w:eastAsia="zh-CN"/>
        </w:rPr>
        <w:t>(￥</w:t>
      </w:r>
      <w:r>
        <w:rPr>
          <w:rFonts w:hint="eastAsia" w:ascii="宋体" w:hAnsi="宋体" w:cs="宋体"/>
          <w:b/>
          <w:bCs/>
          <w:i w:val="0"/>
          <w:iCs w:val="0"/>
          <w:color w:val="auto"/>
          <w:sz w:val="24"/>
          <w:highlight w:val="none"/>
          <w:u w:val="single"/>
          <w:lang w:val="en-US" w:eastAsia="zh-CN"/>
        </w:rPr>
        <w:t>69000</w:t>
      </w:r>
      <w:r>
        <w:rPr>
          <w:rFonts w:hint="eastAsia" w:ascii="宋体" w:hAnsi="宋体" w:eastAsia="宋体" w:cs="宋体"/>
          <w:color w:val="auto"/>
          <w:sz w:val="24"/>
          <w:highlight w:val="none"/>
          <w:u w:val="none"/>
          <w:lang w:val="en-US" w:eastAsia="zh-CN"/>
        </w:rPr>
        <w:t>元)，投标保证金形式：投标人可以使用下列第①</w:t>
      </w:r>
      <w:r>
        <w:rPr>
          <w:rFonts w:hint="eastAsia" w:ascii="宋体" w:hAnsi="宋体" w:cs="宋体"/>
          <w:color w:val="auto"/>
          <w:sz w:val="24"/>
          <w:highlight w:val="none"/>
          <w:u w:val="none"/>
          <w:lang w:val="en-US" w:eastAsia="zh-CN"/>
        </w:rPr>
        <w:t>或</w:t>
      </w:r>
      <w:r>
        <w:rPr>
          <w:rFonts w:hint="eastAsia" w:ascii="宋体" w:hAnsi="宋体" w:eastAsia="宋体" w:cs="宋体"/>
          <w:color w:val="auto"/>
          <w:sz w:val="24"/>
          <w:highlight w:val="none"/>
          <w:u w:val="none"/>
          <w:lang w:val="en-US" w:eastAsia="zh-CN"/>
        </w:rPr>
        <w:t>②</w:t>
      </w:r>
      <w:r>
        <w:rPr>
          <w:rFonts w:hint="eastAsia" w:ascii="宋体" w:hAnsi="宋体" w:cs="宋体"/>
          <w:color w:val="auto"/>
          <w:sz w:val="24"/>
          <w:highlight w:val="none"/>
          <w:u w:val="none"/>
          <w:lang w:val="en-US" w:eastAsia="zh-CN"/>
        </w:rPr>
        <w:t>或</w:t>
      </w:r>
      <w:r>
        <w:rPr>
          <w:rFonts w:hint="eastAsia" w:ascii="宋体" w:hAnsi="宋体" w:eastAsia="宋体" w:cs="宋体"/>
          <w:color w:val="auto"/>
          <w:sz w:val="24"/>
          <w:highlight w:val="none"/>
          <w:u w:val="none"/>
          <w:lang w:val="en-US" w:eastAsia="zh-CN"/>
        </w:rPr>
        <w:t>③</w:t>
      </w:r>
      <w:r>
        <w:rPr>
          <w:rFonts w:hint="eastAsia" w:ascii="宋体" w:hAnsi="宋体" w:cs="宋体"/>
          <w:color w:val="auto"/>
          <w:sz w:val="24"/>
          <w:highlight w:val="none"/>
          <w:u w:val="none"/>
          <w:lang w:val="en-US" w:eastAsia="zh-CN"/>
        </w:rPr>
        <w:t>或</w:t>
      </w:r>
      <w:r>
        <w:rPr>
          <w:rFonts w:hint="eastAsia" w:ascii="宋体" w:hAnsi="宋体" w:eastAsia="宋体" w:cs="宋体"/>
          <w:color w:val="auto"/>
          <w:sz w:val="24"/>
          <w:highlight w:val="none"/>
          <w:u w:val="none"/>
          <w:lang w:val="en-US" w:eastAsia="zh-CN"/>
        </w:rPr>
        <w:t>④</w:t>
      </w:r>
      <w:r>
        <w:rPr>
          <w:rFonts w:hint="eastAsia" w:ascii="宋体" w:hAnsi="宋体" w:cs="宋体"/>
          <w:color w:val="auto"/>
          <w:sz w:val="24"/>
          <w:highlight w:val="none"/>
          <w:u w:val="none"/>
          <w:lang w:val="en-US" w:eastAsia="zh-CN"/>
        </w:rPr>
        <w:t>或</w:t>
      </w:r>
      <w:r>
        <w:rPr>
          <w:rFonts w:hint="eastAsia" w:ascii="宋体" w:hAnsi="宋体" w:eastAsia="宋体" w:cs="宋体"/>
          <w:color w:val="auto"/>
          <w:sz w:val="24"/>
          <w:highlight w:val="none"/>
          <w:u w:val="none"/>
          <w:lang w:val="en-US" w:eastAsia="zh-CN"/>
        </w:rPr>
        <w:t>⑤种形式提交</w:t>
      </w:r>
      <w:r>
        <w:rPr>
          <w:rFonts w:hint="eastAsia" w:ascii="宋体" w:hAnsi="宋体" w:cs="宋体"/>
          <w:color w:val="auto"/>
          <w:sz w:val="24"/>
          <w:highlight w:val="none"/>
          <w:u w:val="none"/>
          <w:lang w:val="en-US" w:eastAsia="zh-CN"/>
        </w:rPr>
        <w:t>；本项目（标段）投标截止时仍被列为招投标重点监管对象的投标人，仅限于使用第①种形式提交。招投标重点监管对象名单通过福建省公共资源电子行政监督平台查询。</w:t>
      </w:r>
    </w:p>
    <w:p w14:paraId="2203C15B">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①现金形式:应在投标截止时间之前从投标人企业基本账户以电汇或银行转账的形式，汇到招标文件指定的投标保证金账户，并应在电汇或银行转账单上注明（招标项目编号），如因投标人汇款凭证未注明招标项目编号造成银行无法识别投标保证金到账情况或识别错误的，其责任由投标人自行承担。在投标截止的同一时间银行查询投标保证金到帐情况。</w:t>
      </w:r>
    </w:p>
    <w:p w14:paraId="08874836">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注：银行存款利率类型为：银行存款同期活期利率，并从投标截止当日开始计息。</w:t>
      </w:r>
    </w:p>
    <w:p w14:paraId="6BF8A3E6">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利息部分应出具发票的类型为：税务发票</w:t>
      </w:r>
    </w:p>
    <w:p w14:paraId="336A159E">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color w:val="auto"/>
          <w:highlight w:val="none"/>
          <w:lang w:val="en-US" w:eastAsia="zh-CN"/>
        </w:rPr>
      </w:pPr>
      <w:r>
        <w:rPr>
          <w:rFonts w:hint="eastAsia" w:ascii="宋体" w:hAnsi="宋体" w:eastAsia="宋体" w:cs="宋体"/>
          <w:color w:val="auto"/>
          <w:sz w:val="24"/>
          <w:highlight w:val="none"/>
          <w:u w:val="none"/>
          <w:lang w:val="en-US" w:eastAsia="zh-CN"/>
        </w:rPr>
        <w:t>投标人开标时应提交一份退款申请书、收据、投标保证金缴交凭证和银行开户许可证复印件（加盖投标人公章），用于退还投标保证金。</w:t>
      </w:r>
    </w:p>
    <w:p w14:paraId="3AEAA83D">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开户名：</w:t>
      </w:r>
      <w:r>
        <w:rPr>
          <w:rFonts w:hint="eastAsia" w:ascii="宋体" w:hAnsi="宋体" w:eastAsia="宋体" w:cs="Arial"/>
          <w:color w:val="auto"/>
          <w:sz w:val="24"/>
          <w:highlight w:val="none"/>
          <w:lang w:eastAsia="zh-CN"/>
        </w:rPr>
        <w:t>福建立信招投标管理有限公司</w:t>
      </w:r>
    </w:p>
    <w:p w14:paraId="2F31C4C3">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default" w:ascii="宋体" w:hAnsi="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开户行：</w:t>
      </w:r>
      <w:r>
        <w:rPr>
          <w:rFonts w:hint="eastAsia" w:ascii="宋体" w:hAnsi="宋体" w:cs="Arial"/>
          <w:color w:val="auto"/>
          <w:sz w:val="24"/>
          <w:highlight w:val="none"/>
        </w:rPr>
        <w:t>中国建设银行莆田分行</w:t>
      </w:r>
    </w:p>
    <w:p w14:paraId="4D40C14C">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账</w:t>
      </w:r>
      <w:r>
        <w:rPr>
          <w:rFonts w:hint="eastAsia" w:ascii="宋体" w:hAnsi="宋体" w:cs="宋体"/>
          <w:color w:val="auto"/>
          <w:sz w:val="24"/>
          <w:highlight w:val="none"/>
          <w:u w:val="none"/>
          <w:lang w:val="en-US" w:eastAsia="zh-CN"/>
        </w:rPr>
        <w:t xml:space="preserve">  </w:t>
      </w:r>
      <w:r>
        <w:rPr>
          <w:rFonts w:hint="eastAsia" w:ascii="宋体" w:hAnsi="宋体" w:eastAsia="宋体" w:cs="宋体"/>
          <w:color w:val="auto"/>
          <w:sz w:val="24"/>
          <w:highlight w:val="none"/>
          <w:u w:val="none"/>
          <w:lang w:val="en-US" w:eastAsia="zh-CN"/>
        </w:rPr>
        <w:t>号：</w:t>
      </w:r>
      <w:r>
        <w:rPr>
          <w:rFonts w:hint="eastAsia" w:ascii="宋体" w:hAnsi="宋体" w:cs="Arial"/>
          <w:color w:val="auto"/>
          <w:sz w:val="24"/>
          <w:highlight w:val="none"/>
        </w:rPr>
        <w:t>35050163243300001078</w:t>
      </w:r>
    </w:p>
    <w:p w14:paraId="6639B45D">
      <w:pPr>
        <w:pStyle w:val="15"/>
        <w:widowControl/>
        <w:wordWrap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u w:val="none"/>
          <w:lang w:val="en-US" w:eastAsia="zh-CN"/>
        </w:rPr>
        <w:t>②银行保函形式：</w:t>
      </w:r>
      <w:r>
        <w:rPr>
          <w:rFonts w:hint="eastAsia" w:ascii="宋体" w:hAnsi="宋体" w:eastAsia="宋体" w:cs="宋体"/>
          <w:color w:val="auto"/>
          <w:kern w:val="0"/>
          <w:sz w:val="24"/>
          <w:szCs w:val="24"/>
          <w:highlight w:val="none"/>
          <w:lang w:eastAsia="zh-CN"/>
        </w:rPr>
        <w:t xml:space="preserve">保证人应是中华人民共和国境内注册的有资格的银行，并提供在线申请索赔服务（具体详见闽建筑[2020]8 号文件）。 </w:t>
      </w:r>
    </w:p>
    <w:p w14:paraId="3D1A3BAB">
      <w:pPr>
        <w:pStyle w:val="15"/>
        <w:widowControl/>
        <w:wordWrap w:val="0"/>
        <w:spacing w:line="360" w:lineRule="auto"/>
        <w:ind w:firstLine="480" w:firstLineChars="200"/>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color w:val="auto"/>
          <w:kern w:val="0"/>
          <w:sz w:val="24"/>
          <w:szCs w:val="24"/>
          <w:highlight w:val="none"/>
          <w:lang w:eastAsia="zh-CN"/>
        </w:rPr>
        <w:t>银行保函能够通过互联网且无需任何授权即可在相应银行的官方网站验证真伪，并在保函上写明网址，否则视为未按规定提交投标保证金，资格审查不合格。投标人向商业银行缴交的保函费用，应在投标截止时间之前从投标人所在地银行的投标人企业基本账户以电汇或银行转账的形式汇到商业银行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。采开具保函费用由投标人自理。</w:t>
      </w:r>
    </w:p>
    <w:p w14:paraId="20C45C6E">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③工程担保公司出具的担保保函形式（适用于已推行工程担保的地区）：保证人应是中华人民共和国境内注册的专业担保公司，并提供在线申请索赔服务。开展担保保函业务保证人的实缴注册资本应在人民币 5000 万元以上，同时应当符合银保监局、市工信局、市金融办有关开展工程担保业务管理的其他规定（具体详见闽建筑[2020]8 号文件）。 </w:t>
      </w:r>
    </w:p>
    <w:p w14:paraId="04B4F86A">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担保保函能够通过互联网且无需任何授权即可在相应工程担保公司的官方网站验证真伪，并在保函上写明网址，否则视为未按规定提交投标保证金，资格审查不合格。投标人向工程担保公司缴交的保函费用，应在投标截止时间之前从投标人所在地银行的投标人企业基本账户以电汇或银行转账的形式汇到担保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。开具保函费用由投标人自理。</w:t>
      </w:r>
    </w:p>
    <w:p w14:paraId="38CF8688">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④保险公司出具的投标保证保险形式：保证人应是中华人民共和国境内注册的保险公司，并提供在线申请索赔服务。保证保险的保险条款应当经中国保监会批准或备案（具体详见闽建筑[2020]8 号文件）。 </w:t>
      </w:r>
    </w:p>
    <w:p w14:paraId="467B0AA7">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cs="宋体"/>
          <w:b w:val="0"/>
          <w:bCs w:val="0"/>
          <w:i w:val="0"/>
          <w:iCs w:val="0"/>
          <w:color w:val="auto"/>
          <w:sz w:val="24"/>
          <w:szCs w:val="24"/>
          <w:highlight w:val="none"/>
          <w:lang w:val="zh-CN"/>
        </w:rPr>
      </w:pPr>
      <w:r>
        <w:rPr>
          <w:rFonts w:hint="eastAsia" w:ascii="宋体" w:hAnsi="宋体" w:eastAsia="宋体" w:cs="宋体"/>
          <w:color w:val="auto"/>
          <w:kern w:val="0"/>
          <w:sz w:val="24"/>
          <w:szCs w:val="24"/>
          <w:highlight w:val="none"/>
          <w:lang w:eastAsia="zh-CN"/>
        </w:rPr>
        <w:t>投标保证保险能够通过互联网且无需任何授权即可在相应保险公司的官方网站验证真伪，并在保函上写明网址，否则视为未按规定提交投标保证金，资格审查不合格。投标人向保险公司缴交的保费，应在投标截止时间之前从投标人所在地银行的投标人企业基本账户以电汇或银行转账的形式汇到保险公司账户，并应在电汇或银行转账单上</w:t>
      </w:r>
      <w:r>
        <w:rPr>
          <w:rFonts w:hint="eastAsia" w:ascii="宋体" w:hAnsi="宋体" w:cs="宋体"/>
          <w:b/>
          <w:bCs/>
          <w:color w:val="auto"/>
          <w:kern w:val="0"/>
          <w:sz w:val="24"/>
          <w:szCs w:val="24"/>
          <w:highlight w:val="none"/>
          <w:shd w:val="clear" w:color="auto" w:fill="FFFFFF"/>
          <w:lang w:bidi="ar"/>
        </w:rPr>
        <w:t>写明招标项目名称或招标编号</w:t>
      </w:r>
      <w:r>
        <w:rPr>
          <w:rFonts w:hint="eastAsia" w:ascii="宋体" w:hAnsi="宋体" w:eastAsia="宋体" w:cs="宋体"/>
          <w:color w:val="auto"/>
          <w:kern w:val="0"/>
          <w:sz w:val="24"/>
          <w:szCs w:val="24"/>
          <w:highlight w:val="none"/>
          <w:lang w:eastAsia="zh-CN"/>
        </w:rPr>
        <w:t>。开具保证保险的费用由投标人自理。</w:t>
      </w:r>
    </w:p>
    <w:p w14:paraId="177EFE9B">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b w:val="0"/>
          <w:bCs w:val="0"/>
          <w:i w:val="0"/>
          <w:iCs w:val="0"/>
          <w:color w:val="auto"/>
          <w:sz w:val="24"/>
          <w:szCs w:val="24"/>
          <w:highlight w:val="none"/>
          <w:u w:val="none"/>
          <w:lang w:val="en-US" w:eastAsia="zh-CN"/>
        </w:rPr>
        <w:t>⑤</w:t>
      </w:r>
      <w:r>
        <w:rPr>
          <w:rFonts w:hint="eastAsia" w:ascii="宋体" w:hAnsi="宋体" w:eastAsia="宋体" w:cs="宋体"/>
          <w:color w:val="auto"/>
          <w:kern w:val="0"/>
          <w:sz w:val="24"/>
          <w:szCs w:val="24"/>
          <w:highlight w:val="none"/>
          <w:lang w:eastAsia="zh-CN"/>
        </w:rPr>
        <w:t>免缴投标保证金形式：符合下列情形之一的投标人，予以免缴投标保证金。（投标人需提供免缴投标保证金承诺函做为投标文件组成部分，承诺函格式详见附件）。</w:t>
      </w:r>
    </w:p>
    <w:p w14:paraId="5DC1A5D3">
      <w:pPr>
        <w:keepNext/>
        <w:keepLines w:val="0"/>
        <w:pageBreakBefore w:val="0"/>
        <w:widowControl w:val="0"/>
        <w:suppressLineNumbers w:val="0"/>
        <w:suppressAutoHyphens/>
        <w:kinsoku/>
        <w:wordWrap w:val="0"/>
        <w:overflowPunct w:val="0"/>
        <w:topLinePunct/>
        <w:autoSpaceDE/>
        <w:autoSpaceDN w:val="0"/>
        <w:bidi w:val="0"/>
        <w:adjustRightInd/>
        <w:snapToGrid/>
        <w:spacing w:after="0" w:line="360" w:lineRule="auto"/>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a.在法定媒介发布招标公告之日仍属于福建省住房和城乡建设厅公布的福建省建筑业龙头企业名单内;</w:t>
      </w:r>
    </w:p>
    <w:p w14:paraId="05768CE0">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b.投标人可以根据《关于保障各类经营主体平等参与招投标竞争的九条措施》，对依法必须招标且招标标的金额在1000万元以下（含1000万元）的政府投资项目，免于收取无失信记录企业投标保证金。本项目免于收取无失信记录企业投标保证金，无失信记录企业需在投标文件的资格文件中的投标保证金中提供①上传通过“信用中国”网站查询并下载本招标项目招标公告发布时间之后的企业信用信息报告（需无失信记录）；②上传通过全国企业信用信息公示系统（网址：www.gsxt.gov.cn）查询本招标项目招标公告发布时间之后无被工商行政管理机关列为“严重违法失信企业名单”网页打印件的扫描件。注：上述材料均须加盖投标人印章。</w:t>
      </w:r>
    </w:p>
    <w:p w14:paraId="05F2AE39">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11</w:t>
      </w:r>
      <w:r>
        <w:rPr>
          <w:rFonts w:hint="eastAsia" w:ascii="宋体" w:hAnsi="宋体" w:eastAsia="宋体" w:cs="宋体"/>
          <w:b w:val="0"/>
          <w:bCs w:val="0"/>
          <w:i w:val="0"/>
          <w:iCs w:val="0"/>
          <w:color w:val="auto"/>
          <w:sz w:val="24"/>
          <w:szCs w:val="24"/>
          <w:highlight w:val="none"/>
          <w:u w:val="none"/>
          <w:lang w:val="en-US" w:eastAsia="zh-CN"/>
        </w:rPr>
        <w:t>.2、投标保证金证明材料提交形式：</w:t>
      </w:r>
    </w:p>
    <w:p w14:paraId="7CBB0BF6">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i w:val="0"/>
          <w:iCs w:val="0"/>
          <w:color w:val="auto"/>
          <w:sz w:val="24"/>
          <w:highlight w:val="none"/>
          <w:u w:val="none"/>
          <w:lang w:val="en-US" w:eastAsia="zh-CN"/>
        </w:rPr>
      </w:pPr>
      <w:r>
        <w:rPr>
          <w:rFonts w:hint="eastAsia" w:ascii="宋体" w:hAnsi="宋体" w:eastAsia="宋体" w:cs="宋体"/>
          <w:i w:val="0"/>
          <w:iCs w:val="0"/>
          <w:color w:val="auto"/>
          <w:sz w:val="24"/>
          <w:highlight w:val="none"/>
          <w:u w:val="none"/>
          <w:lang w:val="en-US" w:eastAsia="zh-CN"/>
        </w:rPr>
        <w:t>①采用现金形式：提交电汇或银行转账单的扫描件并加盖投标人单位印章，作为资格文件的组成部分。</w:t>
      </w:r>
    </w:p>
    <w:p w14:paraId="522688FC">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②采用投标保函（银行保函或担保保函或保证保险）形式：提交电汇或银行转账单的扫描件并加盖投标人单位印章，以及提交保函开立人出具的加盖保函开立人公章（或保函开立人依法刻制并授权用于投标保函业务的专用章）的到账证明扫描件并加盖投标人单位印章，作为资格文件的组成部分。</w:t>
      </w:r>
      <w:bookmarkStart w:id="5" w:name="EB23f3e731a1294da8a2958b613965b307"/>
    </w:p>
    <w:p w14:paraId="2201DF42">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③保函开立人出具的到账证明格式应符合《关于闽建筑〔2020〕8号文件有关到账证明事项的通知》（闽建筑函〔2021〕1号）附件要求，否则视为未按规定提交投标保证金，资格审查不合格</w:t>
      </w:r>
      <w:bookmarkEnd w:id="5"/>
      <w:r>
        <w:rPr>
          <w:rFonts w:hint="eastAsia" w:ascii="宋体" w:hAnsi="宋体" w:eastAsia="宋体" w:cs="宋体"/>
          <w:color w:val="auto"/>
          <w:sz w:val="24"/>
          <w:highlight w:val="none"/>
          <w:u w:val="none"/>
          <w:lang w:val="en-US" w:eastAsia="zh-CN"/>
        </w:rPr>
        <w:t>。</w:t>
      </w:r>
    </w:p>
    <w:p w14:paraId="24C52714">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④采用免缴投标保证金形式：</w:t>
      </w:r>
      <w:r>
        <w:rPr>
          <w:rFonts w:hint="eastAsia" w:ascii="宋体" w:hAnsi="宋体" w:eastAsia="宋体" w:cs="宋体"/>
          <w:color w:val="auto"/>
          <w:sz w:val="24"/>
          <w:highlight w:val="none"/>
          <w:u w:val="none"/>
          <w:lang w:val="zh-CN" w:eastAsia="zh-CN"/>
        </w:rPr>
        <w:t>符合免缴投标保证金</w:t>
      </w:r>
      <w:r>
        <w:rPr>
          <w:rFonts w:hint="eastAsia" w:ascii="宋体" w:hAnsi="宋体" w:eastAsia="宋体" w:cs="宋体"/>
          <w:color w:val="auto"/>
          <w:sz w:val="24"/>
          <w:highlight w:val="none"/>
          <w:u w:val="none"/>
          <w:lang w:val="en-US" w:eastAsia="zh-CN"/>
        </w:rPr>
        <w:t>情形之一</w:t>
      </w:r>
      <w:r>
        <w:rPr>
          <w:rFonts w:hint="eastAsia" w:ascii="宋体" w:hAnsi="宋体" w:eastAsia="宋体" w:cs="宋体"/>
          <w:color w:val="auto"/>
          <w:sz w:val="24"/>
          <w:highlight w:val="none"/>
          <w:u w:val="none"/>
          <w:lang w:val="zh-CN" w:eastAsia="zh-CN"/>
        </w:rPr>
        <w:t>的投标人，在本招标项目采用免缴投标保证金形式的，提交加盖投标人单位印章的《免缴投标保证金承诺函》，作为资格文件的组成部分。</w:t>
      </w:r>
    </w:p>
    <w:p w14:paraId="2815170A">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11</w:t>
      </w:r>
      <w:r>
        <w:rPr>
          <w:rFonts w:hint="eastAsia" w:ascii="宋体" w:hAnsi="宋体" w:eastAsia="宋体" w:cs="宋体"/>
          <w:color w:val="auto"/>
          <w:sz w:val="24"/>
          <w:highlight w:val="none"/>
          <w:u w:val="none"/>
          <w:lang w:val="en-US" w:eastAsia="zh-CN"/>
        </w:rPr>
        <w:t>.</w:t>
      </w: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u w:val="none"/>
          <w:lang w:val="en-US" w:eastAsia="zh-CN"/>
        </w:rPr>
        <w:t>投标保证金有效期：投标保证金的有效期与投标有效期保持一致。</w:t>
      </w:r>
    </w:p>
    <w:p w14:paraId="1D4558CC">
      <w:pPr>
        <w:keepNext w:val="0"/>
        <w:keepLines w:val="0"/>
        <w:pageBreakBefore w:val="0"/>
        <w:widowControl/>
        <w:tabs>
          <w:tab w:val="left" w:pos="900"/>
          <w:tab w:val="left" w:pos="1100"/>
        </w:tabs>
        <w:kinsoku/>
        <w:wordWrap w:val="0"/>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仿宋_GB2312" w:cs="Times New Roman"/>
          <w:bCs/>
          <w:color w:val="auto"/>
          <w:kern w:val="2"/>
          <w:sz w:val="24"/>
          <w:szCs w:val="24"/>
          <w:highlight w:val="none"/>
          <w:lang w:val="en-US" w:eastAsia="zh-CN" w:bidi="ar-SA"/>
        </w:rPr>
        <w:t xml:space="preserve">11.4 </w:t>
      </w:r>
      <w:r>
        <w:rPr>
          <w:rFonts w:hint="eastAsia" w:ascii="宋体" w:hAnsi="宋体" w:eastAsia="宋体" w:cs="Times New Roman"/>
          <w:color w:val="auto"/>
          <w:kern w:val="2"/>
          <w:sz w:val="24"/>
          <w:szCs w:val="24"/>
          <w:highlight w:val="none"/>
          <w:lang w:val="en-US" w:eastAsia="zh-CN" w:bidi="ar-SA"/>
        </w:rPr>
        <w:t>招标人最迟将在与中标人签订合同后5日内，向未中标的投标人和中标人退还投标保证金。</w:t>
      </w:r>
    </w:p>
    <w:p w14:paraId="0C458F73">
      <w:pPr>
        <w:keepNext w:val="0"/>
        <w:keepLines w:val="0"/>
        <w:pageBreakBefore w:val="0"/>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Times New Roman"/>
          <w:b/>
          <w:color w:val="auto"/>
          <w:sz w:val="24"/>
          <w:highlight w:val="none"/>
          <w:u w:val="single"/>
        </w:rPr>
      </w:pPr>
      <w:r>
        <w:rPr>
          <w:rFonts w:hint="eastAsia" w:ascii="宋体" w:hAnsi="宋体" w:eastAsia="宋体" w:cs="Times New Roman"/>
          <w:b/>
          <w:color w:val="auto"/>
          <w:sz w:val="24"/>
          <w:highlight w:val="none"/>
        </w:rPr>
        <w:t>1</w:t>
      </w:r>
      <w:r>
        <w:rPr>
          <w:rFonts w:hint="eastAsia" w:ascii="宋体" w:hAnsi="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cs="Times New Roman"/>
          <w:b/>
          <w:color w:val="auto"/>
          <w:sz w:val="24"/>
          <w:highlight w:val="none"/>
          <w:lang w:val="en-US" w:eastAsia="zh-CN"/>
        </w:rPr>
        <w:t>5</w:t>
      </w:r>
      <w:r>
        <w:rPr>
          <w:rFonts w:hint="eastAsia" w:ascii="宋体" w:hAnsi="宋体" w:eastAsia="宋体" w:cs="Times New Roman"/>
          <w:b/>
          <w:color w:val="auto"/>
          <w:sz w:val="24"/>
          <w:highlight w:val="none"/>
        </w:rPr>
        <w:t>发生下列情况之一，投标保证金将被没收：</w:t>
      </w:r>
    </w:p>
    <w:p w14:paraId="134D5E7B">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 开标后在投标有效期间，投标人撤回或修改其投标文件的；</w:t>
      </w:r>
    </w:p>
    <w:p w14:paraId="5F4D3870">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 中标人放弃中标的；</w:t>
      </w:r>
    </w:p>
    <w:p w14:paraId="13D36CD2">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 中标人在规定的期限内未能提交履约保证金的；</w:t>
      </w:r>
    </w:p>
    <w:p w14:paraId="24F59477">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 中标人不按本须知规定签约的；</w:t>
      </w:r>
    </w:p>
    <w:p w14:paraId="254CF726">
      <w:pPr>
        <w:keepNext w:val="0"/>
        <w:keepLines w:val="0"/>
        <w:pageBreakBefore w:val="0"/>
        <w:tabs>
          <w:tab w:val="left" w:pos="1260"/>
        </w:tabs>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 因中标人在本招标项目投标中存在违法行为导致中标被依法确认无效的。</w:t>
      </w:r>
    </w:p>
    <w:p w14:paraId="6A2F0660">
      <w:pPr>
        <w:keepNext w:val="0"/>
        <w:keepLines w:val="0"/>
        <w:pageBreakBefore w:val="0"/>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12</w:t>
      </w:r>
      <w:r>
        <w:rPr>
          <w:rFonts w:hint="eastAsia" w:ascii="宋体" w:hAnsi="宋体" w:eastAsia="宋体" w:cs="宋体"/>
          <w:b/>
          <w:bCs/>
          <w:color w:val="auto"/>
          <w:sz w:val="24"/>
          <w:highlight w:val="none"/>
        </w:rPr>
        <w:t>. 投标工期及质量</w:t>
      </w:r>
    </w:p>
    <w:p w14:paraId="3976B3AD">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.1招标人要求总工期不超过</w:t>
      </w:r>
      <w:r>
        <w:rPr>
          <w:rFonts w:hint="eastAsia" w:ascii="宋体" w:hAnsi="宋体" w:cs="宋体"/>
          <w:color w:val="auto"/>
          <w:sz w:val="24"/>
          <w:highlight w:val="none"/>
          <w:u w:val="single"/>
          <w:lang w:val="en-US" w:eastAsia="zh-CN"/>
        </w:rPr>
        <w:t>75</w:t>
      </w:r>
      <w:r>
        <w:rPr>
          <w:rFonts w:hint="eastAsia" w:ascii="宋体" w:hAnsi="宋体" w:eastAsia="宋体" w:cs="宋体"/>
          <w:color w:val="auto"/>
          <w:sz w:val="24"/>
          <w:highlight w:val="none"/>
        </w:rPr>
        <w:t>个日历天。逾期未能完成，中标人应向发包人支付逾期完工违约金</w:t>
      </w:r>
      <w:r>
        <w:rPr>
          <w:rFonts w:hint="eastAsia" w:ascii="宋体" w:hAnsi="宋体" w:cs="宋体"/>
          <w:color w:val="auto"/>
          <w:sz w:val="24"/>
          <w:highlight w:val="none"/>
          <w:lang w:val="en-US" w:eastAsia="zh-CN"/>
        </w:rPr>
        <w:t>每日</w:t>
      </w:r>
      <w:r>
        <w:rPr>
          <w:rFonts w:hint="eastAsia" w:ascii="宋体" w:hAnsi="宋体" w:eastAsia="宋体" w:cs="宋体"/>
          <w:color w:val="auto"/>
          <w:sz w:val="24"/>
          <w:highlight w:val="none"/>
          <w:lang w:val="en-US" w:eastAsia="zh-CN"/>
        </w:rPr>
        <w:t>5000</w:t>
      </w:r>
      <w:r>
        <w:rPr>
          <w:rFonts w:hint="eastAsia" w:ascii="宋体" w:hAnsi="宋体" w:eastAsia="宋体" w:cs="宋体"/>
          <w:color w:val="auto"/>
          <w:sz w:val="24"/>
          <w:highlight w:val="none"/>
        </w:rPr>
        <w:t>元</w:t>
      </w:r>
      <w:r>
        <w:rPr>
          <w:rFonts w:hint="eastAsia" w:ascii="宋体" w:hAnsi="宋体" w:cs="宋体"/>
          <w:color w:val="auto"/>
          <w:sz w:val="24"/>
          <w:highlight w:val="none"/>
          <w:lang w:eastAsia="zh-CN"/>
        </w:rPr>
        <w:t>。</w:t>
      </w:r>
    </w:p>
    <w:p w14:paraId="54E244C7">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.2工程质量要求按照国家质量验收标准，综合评定指标达到国家质量验收</w:t>
      </w:r>
      <w:r>
        <w:rPr>
          <w:rFonts w:hint="eastAsia" w:ascii="宋体" w:hAnsi="宋体" w:eastAsia="宋体" w:cs="宋体"/>
          <w:b/>
          <w:color w:val="auto"/>
          <w:sz w:val="24"/>
          <w:highlight w:val="none"/>
          <w:u w:val="single"/>
        </w:rPr>
        <w:t>合格</w:t>
      </w:r>
      <w:r>
        <w:rPr>
          <w:rFonts w:hint="eastAsia" w:ascii="宋体" w:hAnsi="宋体" w:eastAsia="宋体" w:cs="宋体"/>
          <w:color w:val="auto"/>
          <w:sz w:val="24"/>
          <w:highlight w:val="none"/>
        </w:rPr>
        <w:t>标准。若质量验收评定不能达到合格，所造成的一切损失由施工单位承担。</w:t>
      </w:r>
    </w:p>
    <w:p w14:paraId="6F4CD19F">
      <w:pPr>
        <w:keepNext w:val="0"/>
        <w:keepLines w:val="0"/>
        <w:pageBreakBefore w:val="0"/>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color w:val="auto"/>
          <w:sz w:val="24"/>
          <w:highlight w:val="none"/>
        </w:rPr>
      </w:pPr>
      <w:r>
        <w:rPr>
          <w:rFonts w:hint="eastAsia" w:ascii="宋体" w:hAnsi="宋体" w:cs="宋体"/>
          <w:b/>
          <w:bCs/>
          <w:color w:val="auto"/>
          <w:sz w:val="24"/>
          <w:highlight w:val="none"/>
          <w:lang w:val="en-US" w:eastAsia="zh-CN"/>
        </w:rPr>
        <w:t>13</w:t>
      </w:r>
      <w:r>
        <w:rPr>
          <w:rFonts w:hint="eastAsia" w:ascii="宋体" w:hAnsi="宋体" w:eastAsia="宋体" w:cs="宋体"/>
          <w:b/>
          <w:bCs/>
          <w:color w:val="auto"/>
          <w:sz w:val="24"/>
          <w:highlight w:val="none"/>
        </w:rPr>
        <w:t>. 工程预算价编制说明</w:t>
      </w:r>
    </w:p>
    <w:p w14:paraId="4C81329A">
      <w:pPr>
        <w:keepNext w:val="0"/>
        <w:keepLines w:val="0"/>
        <w:pageBreakBefore w:val="0"/>
        <w:kinsoku/>
        <w:overflowPunct/>
        <w:topLinePunct w:val="0"/>
        <w:autoSpaceDE/>
        <w:autoSpaceDN/>
        <w:bidi w:val="0"/>
        <w:adjustRightInd/>
        <w:spacing w:line="440" w:lineRule="exact"/>
        <w:ind w:left="0" w:leftChars="0" w:firstLine="480" w:firstLineChars="200"/>
        <w:jc w:val="both"/>
        <w:textAlignment w:val="auto"/>
        <w:outlineLvl w:val="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rPr>
        <w:t>.1、详见预算审核书</w:t>
      </w:r>
      <w:r>
        <w:rPr>
          <w:rFonts w:hint="eastAsia" w:ascii="宋体" w:hAnsi="宋体" w:cs="宋体"/>
          <w:color w:val="auto"/>
          <w:sz w:val="24"/>
          <w:highlight w:val="none"/>
          <w:lang w:eastAsia="zh-CN"/>
        </w:rPr>
        <w:t>。</w:t>
      </w:r>
    </w:p>
    <w:p w14:paraId="70CAEC24">
      <w:pPr>
        <w:keepNext w:val="0"/>
        <w:keepLines w:val="0"/>
        <w:pageBreakBefore w:val="0"/>
        <w:widowControl w:val="0"/>
        <w:suppressAutoHyphens/>
        <w:kinsoku/>
        <w:wordWrap/>
        <w:overflowPunct/>
        <w:topLinePunct w:val="0"/>
        <w:autoSpaceDE/>
        <w:autoSpaceDN/>
        <w:bidi w:val="0"/>
        <w:adjustRightInd/>
        <w:snapToGrid/>
        <w:spacing w:line="560" w:lineRule="exact"/>
        <w:ind w:firstLine="964" w:firstLineChars="4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Times New Roman"/>
          <w:b/>
          <w:bCs w:val="0"/>
          <w:color w:val="auto"/>
          <w:kern w:val="2"/>
          <w:sz w:val="24"/>
          <w:szCs w:val="24"/>
          <w:highlight w:val="none"/>
          <w:lang w:val="en-US" w:eastAsia="zh-CN"/>
        </w:rPr>
        <w:t>详见审后预算。</w:t>
      </w:r>
    </w:p>
    <w:p w14:paraId="5989758D">
      <w:pPr>
        <w:keepNext w:val="0"/>
        <w:keepLines w:val="0"/>
        <w:pageBreakBefore w:val="0"/>
        <w:kinsoku/>
        <w:overflowPunct/>
        <w:topLinePunct w:val="0"/>
        <w:autoSpaceDE/>
        <w:autoSpaceDN/>
        <w:bidi w:val="0"/>
        <w:adjustRightInd/>
        <w:spacing w:line="440" w:lineRule="exact"/>
        <w:ind w:left="0" w:leftChars="0" w:firstLine="448" w:firstLineChars="200"/>
        <w:jc w:val="both"/>
        <w:textAlignment w:val="auto"/>
        <w:rPr>
          <w:rFonts w:hint="eastAsia" w:ascii="宋体" w:hAnsi="宋体" w:eastAsia="宋体" w:cs="宋体"/>
          <w:color w:val="auto"/>
          <w:sz w:val="24"/>
          <w:highlight w:val="none"/>
          <w:u w:val="single"/>
        </w:rPr>
      </w:pPr>
      <w:r>
        <w:rPr>
          <w:rFonts w:hint="eastAsia" w:ascii="宋体" w:hAnsi="宋体" w:eastAsia="宋体" w:cs="宋体"/>
          <w:color w:val="auto"/>
          <w:spacing w:val="-8"/>
          <w:sz w:val="24"/>
          <w:highlight w:val="none"/>
        </w:rPr>
        <w:t>1</w:t>
      </w:r>
      <w:r>
        <w:rPr>
          <w:rFonts w:hint="eastAsia" w:ascii="宋体" w:hAnsi="宋体" w:cs="宋体"/>
          <w:color w:val="auto"/>
          <w:spacing w:val="-8"/>
          <w:sz w:val="24"/>
          <w:highlight w:val="none"/>
          <w:lang w:val="en-US" w:eastAsia="zh-CN"/>
        </w:rPr>
        <w:t>3</w:t>
      </w:r>
      <w:r>
        <w:rPr>
          <w:rFonts w:hint="eastAsia" w:ascii="宋体" w:hAnsi="宋体" w:eastAsia="宋体" w:cs="宋体"/>
          <w:color w:val="auto"/>
          <w:spacing w:val="-8"/>
          <w:sz w:val="24"/>
          <w:highlight w:val="none"/>
        </w:rPr>
        <w:t>.2</w:t>
      </w:r>
      <w:r>
        <w:rPr>
          <w:rFonts w:hint="eastAsia" w:ascii="宋体" w:hAnsi="宋体" w:eastAsia="宋体" w:cs="宋体"/>
          <w:color w:val="auto"/>
          <w:sz w:val="24"/>
          <w:highlight w:val="none"/>
        </w:rPr>
        <w:t>工程量清单应依据招标文件、施工图纸、施工现场条件，按照《建设工程工程量清单计价规范》、国家统一工程量计算规则、分部分项工程项目划分、计量单位及国家和本省有关规定由有相应资质的中介机构进行编制。工程量清单作为招标文件的组成部分，招标人应对其准确性和完整性负责。</w:t>
      </w:r>
    </w:p>
    <w:p w14:paraId="73213A49">
      <w:pPr>
        <w:keepNext w:val="0"/>
        <w:keepLines w:val="0"/>
        <w:pageBreakBefore w:val="0"/>
        <w:tabs>
          <w:tab w:val="left" w:pos="1260"/>
        </w:tabs>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人应当根据工程规模给予投标人适当的时间核对工程量。中标通知书发出后一个月内，招标人或中标人发现工程量清单中仍存在重大漏项（增项）或数量偏差的，可以进行核对，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w:t>
      </w:r>
    </w:p>
    <w:p w14:paraId="224452B7">
      <w:pPr>
        <w:keepNext w:val="0"/>
        <w:keepLines w:val="0"/>
        <w:pageBreakBefore w:val="0"/>
        <w:widowControl/>
        <w:kinsoku/>
        <w:overflowPunct/>
        <w:topLinePunct w:val="0"/>
        <w:autoSpaceDE/>
        <w:autoSpaceDN/>
        <w:bidi w:val="0"/>
        <w:adjustRightInd/>
        <w:snapToGrid w:val="0"/>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Hans"/>
        </w:rPr>
        <w:t>招标人编制工程预算价时，根据工程大小、技术复杂程度、施工难易程度、施工自然条件、工期长短，按</w:t>
      </w:r>
      <w:r>
        <w:rPr>
          <w:rFonts w:hint="eastAsia" w:ascii="宋体" w:hAnsi="宋体" w:eastAsia="宋体" w:cs="宋体"/>
          <w:color w:val="auto"/>
          <w:sz w:val="24"/>
          <w:highlight w:val="none"/>
          <w:u w:val="single"/>
        </w:rPr>
        <w:t>详见预算审核书</w:t>
      </w:r>
      <w:r>
        <w:rPr>
          <w:rFonts w:hint="eastAsia" w:ascii="宋体" w:hAnsi="宋体" w:eastAsia="宋体" w:cs="宋体"/>
          <w:color w:val="auto"/>
          <w:sz w:val="24"/>
          <w:highlight w:val="none"/>
          <w:lang w:eastAsia="zh-Hans"/>
        </w:rPr>
        <w:t>的风险包干系数计入工程预算价，风险因素包括下列范围：</w:t>
      </w:r>
    </w:p>
    <w:p w14:paraId="6136C6EB">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Hans"/>
        </w:rPr>
        <w:t>工程量清单核对澄清之后，仍有错、漏，导致工程预算价不准确的；</w:t>
      </w:r>
    </w:p>
    <w:p w14:paraId="1BD9AD89">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Hans"/>
        </w:rPr>
        <w:t>市场变化、政策性调整导致主要材料（设备）价格与编制预算价时采用的信息价相比，上涨或下跌幅度在10%以内（含10%）的；</w:t>
      </w:r>
    </w:p>
    <w:p w14:paraId="448FD20F">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 xml:space="preserve">3 </w:t>
      </w:r>
      <w:r>
        <w:rPr>
          <w:rFonts w:hint="eastAsia" w:ascii="宋体" w:hAnsi="宋体" w:eastAsia="宋体" w:cs="宋体"/>
          <w:color w:val="auto"/>
          <w:sz w:val="24"/>
          <w:highlight w:val="none"/>
          <w:lang w:eastAsia="zh-Hans"/>
        </w:rPr>
        <w:t>施工期间除主要材料以外的其他材料价格变化的;</w:t>
      </w:r>
    </w:p>
    <w:p w14:paraId="780D8D18">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Hans"/>
        </w:rPr>
        <w:t>天气、地形、地质等自然条件（不可抗力的除外）变化而采取临时措施的；</w:t>
      </w:r>
    </w:p>
    <w:p w14:paraId="2FDA00D0">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.4.</w:t>
      </w: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lang w:eastAsia="zh-Hans"/>
        </w:rPr>
        <w:t>人工、机械费价格变化的。</w:t>
      </w:r>
    </w:p>
    <w:p w14:paraId="5565B9AF">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 材料价格风险控制</w:t>
      </w:r>
    </w:p>
    <w:p w14:paraId="1FC2DBBB">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Hans"/>
        </w:rPr>
        <w:t>有下列情形之一的,可以调整合同价:</w:t>
      </w:r>
    </w:p>
    <w:p w14:paraId="31535293">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 xml:space="preserve">（1） </w:t>
      </w:r>
      <w:r>
        <w:rPr>
          <w:rFonts w:hint="eastAsia" w:ascii="宋体" w:hAnsi="宋体" w:eastAsia="宋体" w:cs="宋体"/>
          <w:color w:val="auto"/>
          <w:sz w:val="24"/>
          <w:highlight w:val="none"/>
          <w:lang w:eastAsia="zh-Hans"/>
        </w:rPr>
        <w:t>按规定需要调整劳保费用的;</w:t>
      </w:r>
    </w:p>
    <w:p w14:paraId="0C20B291">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Hans"/>
        </w:rPr>
        <w:t>地质变化、非中标人原因的设计变更引起工程量增减的；</w:t>
      </w:r>
    </w:p>
    <w:p w14:paraId="0A36C82F">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 xml:space="preserve">（3） </w:t>
      </w:r>
      <w:r>
        <w:rPr>
          <w:rFonts w:hint="eastAsia" w:ascii="宋体" w:hAnsi="宋体" w:eastAsia="宋体" w:cs="宋体"/>
          <w:color w:val="auto"/>
          <w:sz w:val="24"/>
          <w:highlight w:val="none"/>
          <w:lang w:eastAsia="zh-Hans"/>
        </w:rPr>
        <w:t>市场变化、政策性调整导致主要材料价格涨跌超过10%的；</w:t>
      </w:r>
    </w:p>
    <w:p w14:paraId="2BA79C44">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Hans"/>
        </w:rPr>
        <w:t>非中标人原因造成工期拖延,期间主要材料价格及相关措施费用上涨的。</w:t>
      </w:r>
    </w:p>
    <w:p w14:paraId="53DD8770">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.2 </w:t>
      </w:r>
      <w:r>
        <w:rPr>
          <w:rFonts w:hint="eastAsia" w:ascii="宋体" w:hAnsi="宋体" w:eastAsia="宋体" w:cs="宋体"/>
          <w:color w:val="auto"/>
          <w:sz w:val="24"/>
          <w:highlight w:val="none"/>
          <w:lang w:eastAsia="zh-Hans"/>
        </w:rPr>
        <w:t>钢</w:t>
      </w:r>
      <w:r>
        <w:rPr>
          <w:rFonts w:hint="eastAsia" w:ascii="宋体" w:hAnsi="宋体" w:eastAsia="宋体" w:cs="宋体"/>
          <w:color w:val="auto"/>
          <w:sz w:val="24"/>
          <w:highlight w:val="none"/>
        </w:rPr>
        <w:t>筋</w:t>
      </w:r>
      <w:r>
        <w:rPr>
          <w:rFonts w:hint="eastAsia" w:ascii="宋体" w:hAnsi="宋体" w:eastAsia="宋体" w:cs="宋体"/>
          <w:color w:val="auto"/>
          <w:sz w:val="24"/>
          <w:highlight w:val="none"/>
          <w:lang w:eastAsia="zh-Hans"/>
        </w:rPr>
        <w:t>、水泥（非商品砼中的水泥）等主要材料（</w:t>
      </w:r>
      <w:r>
        <w:rPr>
          <w:rFonts w:hint="eastAsia" w:ascii="宋体" w:hAnsi="宋体" w:eastAsia="宋体" w:cs="宋体"/>
          <w:color w:val="auto"/>
          <w:sz w:val="24"/>
          <w:highlight w:val="none"/>
        </w:rPr>
        <w:t>钢筋、水泥（非商品砼中的水泥）</w:t>
      </w:r>
      <w:r>
        <w:rPr>
          <w:rFonts w:hint="eastAsia" w:ascii="宋体" w:hAnsi="宋体" w:eastAsia="宋体" w:cs="宋体"/>
          <w:color w:val="auto"/>
          <w:sz w:val="24"/>
          <w:highlight w:val="none"/>
          <w:lang w:eastAsia="zh-Hans"/>
        </w:rPr>
        <w:t>）价格大幅度波动，施工期当月相关部门造价管理机构发布的信息价与编制预算价时采用的材料信息价相比，上涨或下跌幅度在10%以内（含10%）的，其价差由中标人承担或受益。上涨或下跌幅度在10%以外的，超过10%部分的价差由招标人承担或受益。发生的价差只计取价差和税金，不计取其他费用。</w:t>
      </w:r>
    </w:p>
    <w:p w14:paraId="586D9A25">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xml:space="preserve">.3 </w:t>
      </w:r>
      <w:r>
        <w:rPr>
          <w:rFonts w:hint="eastAsia" w:ascii="宋体" w:hAnsi="宋体" w:eastAsia="宋体" w:cs="宋体"/>
          <w:color w:val="auto"/>
          <w:sz w:val="24"/>
          <w:highlight w:val="none"/>
          <w:lang w:eastAsia="zh-Hans"/>
        </w:rPr>
        <w:t>因招标人原因造成工期拖延的，在拖延期间的材料上涨价差由招标人承担；因投标人原因造成工期拖延的，在拖延期间的材料上涨价差由投标人承担。招标人未按合同约定支付工程预付款和工程进度款的，因此造成的损失由招标人承担。</w:t>
      </w:r>
    </w:p>
    <w:p w14:paraId="5F2B434F">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 xml:space="preserve">4 </w:t>
      </w:r>
      <w:r>
        <w:rPr>
          <w:rFonts w:hint="eastAsia" w:ascii="宋体" w:hAnsi="宋体" w:eastAsia="宋体" w:cs="宋体"/>
          <w:color w:val="auto"/>
          <w:sz w:val="24"/>
          <w:highlight w:val="none"/>
          <w:lang w:eastAsia="zh-Hans"/>
        </w:rPr>
        <w:t>由于设计变更等原因发生的工程量增减，按下列办法计算相关费用：</w:t>
      </w:r>
    </w:p>
    <w:p w14:paraId="4DDF7F21">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eastAsia="zh-Hans"/>
        </w:rPr>
        <w:t>增减工程量的单价确定</w:t>
      </w:r>
    </w:p>
    <w:p w14:paraId="379B5E1D">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Hans"/>
        </w:rPr>
        <w:t>在工程量清单内的项目发生工程量增加，其增加部分工程量的综合单价＝招标人工程预算价中的相应项目综合单价×（1－中标价降幅系数）</w:t>
      </w:r>
    </w:p>
    <w:p w14:paraId="3133E5D9">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Hans"/>
        </w:rPr>
        <w:t>在工程量清单内的项目发生工程量减少，其减少部分工程量的综合单价＝招标人工程预算价中的相应项目综合单价×（1－中标价降幅系数）</w:t>
      </w:r>
    </w:p>
    <w:p w14:paraId="59649E55">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Hans"/>
        </w:rPr>
        <w:t>不在工程量清单内的项目综合单价，按照市相关部门造价管理机构颁布的施工期间的消耗量定额、费用定额、材料（设备）信息价或市场价及中标价降幅系数计算。</w:t>
      </w:r>
    </w:p>
    <w:p w14:paraId="455DE959">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不在工程量清单内的项目综合单价＝按本项规定计算的综合单价×(1-中标价降幅系数)</w:t>
      </w:r>
    </w:p>
    <w:p w14:paraId="0C45C778">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Hans"/>
        </w:rPr>
        <w:t>若定额缺项的，由中标人提出适当的单价，经招标人会同工程预（决）算审核单位审核确定，报市相关部门造价管理机构备案。</w:t>
      </w:r>
    </w:p>
    <w:p w14:paraId="764D79DD">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定额缺项单价（或议价）＝经双方确认的单价×(1-中标价降幅系数)</w:t>
      </w:r>
    </w:p>
    <w:p w14:paraId="4261FB38">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如双方不能达成一致的，双方可提请工程所在地工程造价管理机构进行咨询或按合同约定的争议或纠纷解决程序办理。</w:t>
      </w:r>
    </w:p>
    <w:p w14:paraId="7B3D79D3">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Hans"/>
        </w:rPr>
        <w:t>中标价降幅系数=（工程预算价－中标价）/工程预算价×100%。</w:t>
      </w:r>
    </w:p>
    <w:p w14:paraId="17A01C95">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CN"/>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.5.</w:t>
      </w:r>
      <w:r>
        <w:rPr>
          <w:rFonts w:hint="eastAsia" w:ascii="宋体" w:hAnsi="宋体" w:eastAsia="宋体" w:cs="宋体"/>
          <w:color w:val="auto"/>
          <w:sz w:val="24"/>
          <w:highlight w:val="none"/>
        </w:rPr>
        <w:t xml:space="preserve">4.2 </w:t>
      </w:r>
      <w:r>
        <w:rPr>
          <w:rFonts w:hint="eastAsia" w:ascii="宋体" w:hAnsi="宋体" w:eastAsia="宋体" w:cs="宋体"/>
          <w:color w:val="auto"/>
          <w:sz w:val="24"/>
          <w:highlight w:val="none"/>
          <w:lang w:eastAsia="zh-Hans"/>
        </w:rPr>
        <w:t>材料（设备）变更的价格确定</w:t>
      </w:r>
    </w:p>
    <w:p w14:paraId="1AF2E74B">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Hans"/>
        </w:rPr>
        <w:t>拟变更使用的材料（设备）属招标人材料（设备）价格明细表已有的，根据招标人材料（设备）价格明细表所列的材料（设备）单价与中标价降幅系数的乘积计算。</w:t>
      </w:r>
    </w:p>
    <w:p w14:paraId="1C0CAA8C">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拟变更使用的材料（设备）价格＝招标人材料（设备）价格明细表所列的材料（设备）单价×(1-中标价降幅系数)</w:t>
      </w:r>
    </w:p>
    <w:p w14:paraId="12558CE3">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Hans"/>
        </w:rPr>
        <w:t>拟变更使用的材料（设备）属招标人材料价格明细表中没有的，其价格按照相关行政主管部门指定的信息发布媒介公布的建设工程施工期间材料（设备）单价与中标价降幅系数的乘积计算。</w:t>
      </w:r>
    </w:p>
    <w:p w14:paraId="61DBFF86">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拟变更使用的材料（设备）价格＝信息价×(1-中标价降幅系数)</w:t>
      </w:r>
    </w:p>
    <w:p w14:paraId="38314785">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Hans"/>
        </w:rPr>
        <w:t>拟变更不用的材料（设备），其价格按招标人材料（设备）价格明细表所列的材料（设备）单价与中标价降幅系数的乘积计算。</w:t>
      </w:r>
    </w:p>
    <w:p w14:paraId="3B0A7C62">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sz w:val="24"/>
          <w:highlight w:val="none"/>
          <w:lang w:eastAsia="zh-Hans"/>
        </w:rPr>
        <w:t>拟变更不用的材料（设备）价格＝招标人材料（设备）价格明细表所列的材料（设备）单价×(1-中标价降幅系数)</w:t>
      </w:r>
    </w:p>
    <w:p w14:paraId="3495F3A0">
      <w:pPr>
        <w:keepNext w:val="0"/>
        <w:keepLines w:val="0"/>
        <w:pageBreakBefore w:val="0"/>
        <w:widowControl/>
        <w:kinsoku/>
        <w:overflowPunct/>
        <w:topLinePunct w:val="0"/>
        <w:autoSpaceDE/>
        <w:autoSpaceDN/>
        <w:bidi w:val="0"/>
        <w:adjustRightInd/>
        <w:spacing w:line="440" w:lineRule="exact"/>
        <w:ind w:left="0" w:leftChars="0"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Hans"/>
        </w:rPr>
        <w:t>上述发布媒介没有公布的材料（设备）单价，按招标人、中标人、监理单位三家共同询价后的价格乘以中标价降幅系数计算。</w:t>
      </w:r>
    </w:p>
    <w:p w14:paraId="73D12DE4">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lang w:eastAsia="zh-Hans"/>
        </w:rPr>
      </w:pPr>
      <w:r>
        <w:rPr>
          <w:rFonts w:hint="eastAsia" w:ascii="宋体" w:hAnsi="宋体" w:eastAsia="宋体" w:cs="宋体"/>
          <w:b/>
          <w:color w:val="auto"/>
          <w:sz w:val="24"/>
          <w:highlight w:val="none"/>
          <w:lang w:eastAsia="zh-Hans"/>
        </w:rPr>
        <w:t>1</w:t>
      </w:r>
      <w:r>
        <w:rPr>
          <w:rFonts w:hint="eastAsia" w:ascii="宋体" w:hAnsi="宋体" w:cs="宋体"/>
          <w:b/>
          <w:color w:val="auto"/>
          <w:sz w:val="24"/>
          <w:highlight w:val="none"/>
          <w:lang w:val="en-US" w:eastAsia="zh-CN"/>
        </w:rPr>
        <w:t>4</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Hans"/>
        </w:rPr>
        <w:t>政府投资项目在建设实施过程中出现下列情形之一，可以申请设计变更：</w:t>
      </w:r>
    </w:p>
    <w:p w14:paraId="5AA69E1C">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（一）因自然灾害等不可抗力造成项目条件发生重大变化的； </w:t>
      </w:r>
    </w:p>
    <w:p w14:paraId="6CE9DA8B">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（二）因资源、水文地质、工程地质、考古及调查、勘察等情况有重大变化，需要调整建设方案的； </w:t>
      </w:r>
    </w:p>
    <w:p w14:paraId="5BF897FC">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（三）原设计图纸存在缺陷或错误，无法保证施工质量和安全的； </w:t>
      </w:r>
    </w:p>
    <w:p w14:paraId="6EC917E0">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（四）因政策调整、规划变更、征地拆迁等原因导致需要调整建设方案的。</w:t>
      </w:r>
    </w:p>
    <w:p w14:paraId="66B620E3">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lang w:eastAsia="zh-Hans"/>
        </w:rPr>
      </w:pPr>
      <w:r>
        <w:rPr>
          <w:rFonts w:hint="eastAsia" w:ascii="宋体" w:hAnsi="宋体" w:eastAsia="宋体" w:cs="宋体"/>
          <w:b/>
          <w:color w:val="auto"/>
          <w:sz w:val="24"/>
          <w:highlight w:val="none"/>
          <w:lang w:eastAsia="zh-Hans"/>
        </w:rPr>
        <w:t>确需追加工程造价的</w:t>
      </w:r>
      <w:r>
        <w:rPr>
          <w:rFonts w:hint="eastAsia" w:ascii="宋体" w:hAnsi="宋体" w:eastAsia="宋体" w:cs="宋体"/>
          <w:b/>
          <w:color w:val="auto"/>
          <w:sz w:val="24"/>
          <w:highlight w:val="none"/>
        </w:rPr>
        <w:t>按照莆田市人民政府关于印发《莆田市建设工程标后管理规定》的通知（莆政综【2020】47 号）规定设计变更和现场签证实行分类审批：</w:t>
      </w:r>
    </w:p>
    <w:p w14:paraId="0F418F5F">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　（一）非小规模工程设计变更和现场签证累计增加工程造价： </w:t>
      </w:r>
    </w:p>
    <w:p w14:paraId="5DC369C4">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五类：在合同价1%（含1%）或金额40万元（含40万元）以下的，建设单位应当加强管理； </w:t>
      </w:r>
    </w:p>
    <w:p w14:paraId="5F758CEF">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四类：达到合同价1%-3%（含3%）或金额40-200万元（含200万元）的，建设单位应当事先报项目行政主管部门备案。 </w:t>
      </w:r>
    </w:p>
    <w:p w14:paraId="16DB5D48">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三类：达到合同价3%-5%（含5%）或金额200-500万元（含500万元）的，建设单位应当事先报项目行政主管部门、行政监督部门审批。 </w:t>
      </w:r>
    </w:p>
    <w:p w14:paraId="28D215B9">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二类：达到合同价5%-10%（含10%）或金额500-800万元（含800万元）的，建设单位应当事先报项目行政主管部门、行政监督部门及财政部门审批。 </w:t>
      </w:r>
    </w:p>
    <w:p w14:paraId="68A42571">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一类：设计变更和现场签证累计增加造价原则上不得超过合同价的10%。确因设计图纸存在缺陷或错误、无法保证施工质量和安全，需设计变更累计增加造价超过合同价10%或金额800万元以上的，建设单位应当事先报项目行政主管部门、行政监督部门及财政部门审核后报同级人民政府研究批准。 </w:t>
      </w:r>
    </w:p>
    <w:p w14:paraId="3B527F1F">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设计变更、现场签证增加的投资原则上在项目概算中调剂解决。符合《福建省省级政府投资项目概算调整管理规定（试行）》（闽发改投资〔2009〕1号）第四条规定情形的，导致累计增加的投资无法在项目概算中调剂解决的，建设单位在申请调整概算时应当附上有关设计变更、现场签证的审批或确认文件。因设计变更和现场签证累计增加造价致编制结算价超工程概算的，建设单位应报财政部门审核后报项目审批部门一次性调整概算。未通过概算调整的项目，超过原投资概算部分造价，财政部门不予确认。 </w:t>
      </w:r>
    </w:p>
    <w:p w14:paraId="42F77958">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建设单位不得擅自变更设计。因未能按规定提供有关审批、确认依据，导致概算无法调整的，其责任由建设单位及其相关责任人承担。 </w:t>
      </w:r>
    </w:p>
    <w:p w14:paraId="0E291164">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二）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 </w:t>
      </w:r>
    </w:p>
    <w:p w14:paraId="778DF71B">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 xml:space="preserve">小规模工程变更类别累计超过40万元和合同价达400万元及以上的工程，变更类别按累计增加合同价比例和金额共同确定，从严控制。 </w:t>
      </w:r>
    </w:p>
    <w:p w14:paraId="3ABAE699">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Hans"/>
        </w:rPr>
        <w:t>（三）设计变更和现场签证造成造价变更，在报审批时允许进行增减对抵。主要材料差价调整部分和工期奖罚金额不纳入累计造价中进行审批。</w:t>
      </w:r>
    </w:p>
    <w:p w14:paraId="2EB2164E">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工程实施过程进行监督提醒。在工程实施过程中，各级工程质量监督部门对发现项目存在设计变更事项的未办理手续的，应书面提醒建设单位按要求及时办理设计变更手续，未办理设计变更手续继续实施的，工程质量监督部门应当依照《建设工程质量管理条例》规定，对施工企业以未按设计图纸施工进行依法处理，对监理单位以未按设计文件对施工单位实施监理进行依法处理。 </w:t>
      </w:r>
    </w:p>
    <w:p w14:paraId="3B675FED">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设计变更应符合国家有关法律法规和技术标准的要求，严格执行工程强制性标准，符合项目建设质量和使用功能要求。 </w:t>
      </w:r>
    </w:p>
    <w:p w14:paraId="3EF8F659">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设计变更应坚持“集体研究、社会公示、分级审批、先批后变”的原则，严格控制突破限额的设计变更。 </w:t>
      </w:r>
    </w:p>
    <w:p w14:paraId="78A7C2B3">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对于部分设计变更需连续性施工的工程项目（如河道整治、堤防建设、管网埋设等线性工程；水工建筑的基础部分和应急抢险工程；路基的清淤回填、软土地基处理；桥梁的基础工程；隧道、涵道基础、土工布及埋置于地表层以下等工程），若暂停施工会严重影响工程质量安全的，由建设、勘察设计、监理、施工单位四方现场共同确认并形成会议（会勘）纪要后，可先行实施，实施过程中保留必要的能够体现施工过程的影像资料备查，同时及时完善设计变更审批手续。 </w:t>
      </w:r>
    </w:p>
    <w:p w14:paraId="69143D00">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对部分设计变更超出建设单位审批权限但需进行紧急抢险的工程项目（路基滑坡、泥石流，结构工程严重破坏，重大水毁等工程），建设单位可先向行政主管部门报告后先行进行紧急处理，采取动态设计，在施工中及时对原设计进行调整和完善，同时及时完善设计变更审批手续。 </w:t>
      </w:r>
    </w:p>
    <w:p w14:paraId="4AE0E8C5">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设计变更侧重于政府性项目标后内部控制投资管理，市属项目因工程进度等原因未能及时办理设计变更备案审批手续，建设单位应在分部工程验收前经项目行政主管部门研究同意后补办手续，超过分部工程验收时限的应上报市政府同意或批示后方可补办。施工企业承诺放弃财政审后造价增加部分的，不必补办审批手续。</w:t>
      </w:r>
    </w:p>
    <w:p w14:paraId="48FAA4AC">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选用</w:t>
      </w:r>
      <w:r>
        <w:rPr>
          <w:rFonts w:hint="eastAsia" w:ascii="宋体" w:hAnsi="宋体" w:eastAsia="宋体" w:cs="宋体"/>
          <w:b/>
          <w:color w:val="auto"/>
          <w:sz w:val="24"/>
          <w:highlight w:val="none"/>
          <w:lang w:eastAsia="zh-Hans"/>
        </w:rPr>
        <w:t>主要材料、设备要求</w:t>
      </w:r>
    </w:p>
    <w:p w14:paraId="2962FF6C">
      <w:pPr>
        <w:keepNext w:val="0"/>
        <w:keepLines w:val="0"/>
        <w:pageBreakBefore w:val="0"/>
        <w:widowControl/>
        <w:kinsoku/>
        <w:overflowPunct/>
        <w:topLinePunct w:val="0"/>
        <w:autoSpaceDE/>
        <w:autoSpaceDN/>
        <w:bidi w:val="0"/>
        <w:adjustRightInd/>
        <w:spacing w:line="440" w:lineRule="exact"/>
        <w:ind w:left="0" w:leftChars="0" w:firstLine="482" w:firstLineChars="200"/>
        <w:jc w:val="both"/>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注：</w:t>
      </w:r>
      <w:r>
        <w:rPr>
          <w:rFonts w:hint="eastAsia" w:ascii="宋体" w:hAnsi="宋体" w:eastAsia="宋体" w:cs="宋体"/>
          <w:color w:val="auto"/>
          <w:kern w:val="0"/>
          <w:sz w:val="24"/>
          <w:highlight w:val="none"/>
        </w:rPr>
        <w:t>（1）中标人选用材料前，应先将拟用材料样本（成品或半成品）报招标人确认，未经确认不得擅自使用，若招标人对中标人提供的材料样本不满意，招标人有权指定选用不高于预算材料价的相关材料设备，中标人必须接受。</w:t>
      </w:r>
    </w:p>
    <w:p w14:paraId="5809A5DC">
      <w:pPr>
        <w:widowControl/>
        <w:spacing w:line="560" w:lineRule="exact"/>
        <w:rPr>
          <w:rFonts w:hint="eastAsia" w:ascii="宋体" w:hAnsi="宋体" w:eastAsia="宋体" w:cs="宋体"/>
          <w:b/>
          <w:color w:val="auto"/>
          <w:sz w:val="28"/>
          <w:szCs w:val="28"/>
          <w:highlight w:val="none"/>
        </w:rPr>
      </w:pPr>
    </w:p>
    <w:p w14:paraId="26ECC08E">
      <w:pPr>
        <w:widowControl/>
        <w:spacing w:line="5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Hans"/>
        </w:rPr>
        <w:t>（三）投标文件</w:t>
      </w:r>
    </w:p>
    <w:p w14:paraId="0E001F70">
      <w:pPr>
        <w:keepNext w:val="0"/>
        <w:keepLines w:val="0"/>
        <w:pageBreakBefore w:val="0"/>
        <w:widowControl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rPr>
        <w:t>. 投标文件的组成</w:t>
      </w:r>
    </w:p>
    <w:p w14:paraId="0BF0997A">
      <w:pPr>
        <w:keepNext w:val="0"/>
        <w:keepLines w:val="0"/>
        <w:pageBreakBefore w:val="0"/>
        <w:widowControl w:val="0"/>
        <w:tabs>
          <w:tab w:val="left" w:pos="1260"/>
        </w:tabs>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.1投标文件须按招标文件提供的统一格式填写(格式中的所有表格，均可视内容扩展)，包括完整地填写投标函，中文打字并装订成册。</w:t>
      </w:r>
    </w:p>
    <w:p w14:paraId="4B2248CA">
      <w:pPr>
        <w:keepNext w:val="0"/>
        <w:keepLines w:val="0"/>
        <w:pageBreakBefore w:val="0"/>
        <w:widowControl w:val="0"/>
        <w:tabs>
          <w:tab w:val="left" w:pos="540"/>
          <w:tab w:val="left" w:pos="1080"/>
          <w:tab w:val="left" w:pos="1800"/>
        </w:tabs>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.2投标文件由下列内容组成。</w:t>
      </w:r>
    </w:p>
    <w:p w14:paraId="51AFF230">
      <w:pPr>
        <w:keepNext w:val="0"/>
        <w:keepLines w:val="0"/>
        <w:pageBreakBefore w:val="0"/>
        <w:widowControl w:val="0"/>
        <w:tabs>
          <w:tab w:val="left" w:pos="540"/>
          <w:tab w:val="left" w:pos="1080"/>
          <w:tab w:val="left" w:pos="1800"/>
        </w:tabs>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（1）投标承诺函及其附表（格式）</w:t>
      </w:r>
    </w:p>
    <w:p w14:paraId="7F4F3441">
      <w:pPr>
        <w:keepNext w:val="0"/>
        <w:keepLines w:val="0"/>
        <w:pageBreakBefore w:val="0"/>
        <w:widowControl w:val="0"/>
        <w:tabs>
          <w:tab w:val="left" w:pos="540"/>
          <w:tab w:val="left" w:pos="1080"/>
          <w:tab w:val="left" w:pos="1800"/>
        </w:tabs>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（2）法定代表人资格证明书、法定代表人授权委托书(格式)</w:t>
      </w:r>
    </w:p>
    <w:p w14:paraId="4A9C043C">
      <w:pPr>
        <w:keepNext w:val="0"/>
        <w:keepLines w:val="0"/>
        <w:pageBreakBefore w:val="0"/>
        <w:widowControl w:val="0"/>
        <w:tabs>
          <w:tab w:val="left" w:pos="540"/>
          <w:tab w:val="left" w:pos="1080"/>
          <w:tab w:val="left" w:pos="1800"/>
        </w:tabs>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注：投标承诺函中企业信息（营业执照、资质证书、安全生产许可证等）和项目负责人信息（建造师证、安全考核证等）扫描件应加盖公章，否则按废标处理。</w:t>
      </w:r>
    </w:p>
    <w:p w14:paraId="2DEA2C86">
      <w:pPr>
        <w:keepNext w:val="0"/>
        <w:keepLines w:val="0"/>
        <w:pageBreakBefore w:val="0"/>
        <w:widowControl w:val="0"/>
        <w:tabs>
          <w:tab w:val="left" w:pos="540"/>
          <w:tab w:val="left" w:pos="1080"/>
          <w:tab w:val="left" w:pos="1800"/>
        </w:tabs>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17</w:t>
      </w:r>
      <w:r>
        <w:rPr>
          <w:rFonts w:hint="eastAsia" w:ascii="宋体" w:hAnsi="宋体" w:eastAsia="宋体" w:cs="宋体"/>
          <w:b/>
          <w:color w:val="auto"/>
          <w:sz w:val="24"/>
          <w:highlight w:val="none"/>
        </w:rPr>
        <w:t>. 投标文件的编制</w:t>
      </w:r>
    </w:p>
    <w:p w14:paraId="1E12C02B">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本项目线下纸质投标，</w:t>
      </w:r>
      <w:r>
        <w:rPr>
          <w:rFonts w:hint="eastAsia" w:ascii="宋体" w:hAnsi="宋体" w:eastAsia="宋体" w:cs="宋体"/>
          <w:color w:val="auto"/>
          <w:sz w:val="24"/>
          <w:highlight w:val="none"/>
        </w:rPr>
        <w:t>投标文件应按照招标文件第七章“投标文件格式”中规定的格式和内容进行编写。投标人应仔细阅读投标文件格式的备注或说明，其中表格可以按同样格式扩展，如有必要也可以增加附页。</w:t>
      </w:r>
    </w:p>
    <w:p w14:paraId="633FDDFC">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.2投标文件应当对招标文件有关工程发包价、招标工期、质量要求、投标有效期、项目管理人员等实质性内容作出响应。</w:t>
      </w:r>
    </w:p>
    <w:p w14:paraId="4B8168BC">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lang w:val="en-US" w:eastAsia="en-US"/>
        </w:rPr>
      </w:pPr>
      <w:r>
        <w:rPr>
          <w:rFonts w:hint="eastAsia" w:ascii="宋体" w:hAnsi="宋体" w:eastAsia="宋体" w:cs="宋体"/>
          <w:color w:val="auto"/>
          <w:sz w:val="24"/>
          <w:highlight w:val="none"/>
          <w:lang w:val="en-US" w:eastAsia="en-US"/>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eastAsia="en-US"/>
        </w:rPr>
        <w:t>.3投标文件正本的份数为一份，副本的份数为一份，正本和副本的封面上应清楚地标记“正本”或“副本”的字样。当副本和正本不一致时，以正本为准。</w:t>
      </w:r>
    </w:p>
    <w:p w14:paraId="2D04F5F2">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lang w:eastAsia="en-US"/>
        </w:rPr>
      </w:pPr>
      <w:r>
        <w:rPr>
          <w:rFonts w:hint="eastAsia" w:ascii="宋体" w:hAnsi="宋体" w:eastAsia="宋体" w:cs="宋体"/>
          <w:color w:val="auto"/>
          <w:sz w:val="24"/>
          <w:highlight w:val="none"/>
          <w:lang w:eastAsia="en-US"/>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en-US"/>
        </w:rPr>
        <w:t>.4 投标人须按招标文件要求在投标文件相关位置加盖公章，投标文件未按要求加盖单位公章的，属无效文件，作废标处理。</w:t>
      </w:r>
    </w:p>
    <w:p w14:paraId="302E5970">
      <w:pPr>
        <w:keepNext w:val="0"/>
        <w:keepLines w:val="0"/>
        <w:pageBreakBefore w:val="0"/>
        <w:widowControl w:val="0"/>
        <w:tabs>
          <w:tab w:val="left" w:pos="540"/>
          <w:tab w:val="left" w:pos="1080"/>
          <w:tab w:val="left" w:pos="1800"/>
        </w:tabs>
        <w:kinsoku/>
        <w:wordWrap w:val="0"/>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b w:val="0"/>
          <w:bCs w:val="0"/>
          <w:color w:val="auto"/>
          <w:sz w:val="24"/>
          <w:highlight w:val="none"/>
        </w:rPr>
      </w:pPr>
    </w:p>
    <w:p w14:paraId="4259E82A">
      <w:pPr>
        <w:keepNext w:val="0"/>
        <w:keepLines w:val="0"/>
        <w:pageBreakBefore w:val="0"/>
        <w:widowControl w:val="0"/>
        <w:kinsoku/>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 投标文件的补充、修改或者撤回</w:t>
      </w:r>
    </w:p>
    <w:p w14:paraId="70D036A7">
      <w:pPr>
        <w:keepNext w:val="0"/>
        <w:keepLines w:val="0"/>
        <w:pageBreakBefore w:val="0"/>
        <w:widowControl w:val="0"/>
        <w:kinsoku/>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投标人在投标截止时间前可以对投标文件进行补充、修改或者撤回。</w:t>
      </w:r>
    </w:p>
    <w:p w14:paraId="633AF8DB">
      <w:pPr>
        <w:spacing w:line="380" w:lineRule="exact"/>
        <w:jc w:val="left"/>
        <w:rPr>
          <w:rFonts w:hint="eastAsia" w:ascii="宋体" w:hAnsi="宋体" w:eastAsia="宋体" w:cs="宋体"/>
          <w:color w:val="auto"/>
          <w:sz w:val="24"/>
          <w:highlight w:val="none"/>
        </w:rPr>
      </w:pPr>
    </w:p>
    <w:p w14:paraId="5146DA78">
      <w:pPr>
        <w:spacing w:line="380" w:lineRule="exact"/>
        <w:jc w:val="center"/>
        <w:rPr>
          <w:rFonts w:hint="eastAsia" w:ascii="宋体" w:hAnsi="宋体" w:eastAsia="宋体" w:cs="宋体"/>
          <w:color w:val="auto"/>
          <w:sz w:val="30"/>
          <w:szCs w:val="30"/>
          <w:highlight w:val="none"/>
        </w:rPr>
      </w:pPr>
    </w:p>
    <w:p w14:paraId="11831253">
      <w:pPr>
        <w:spacing w:line="38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（四）投标</w:t>
      </w:r>
    </w:p>
    <w:p w14:paraId="10D46A2F">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cs="宋体"/>
          <w:b/>
          <w:bCs/>
          <w:color w:val="auto"/>
          <w:sz w:val="24"/>
          <w:highlight w:val="none"/>
          <w:lang w:val="en-US" w:eastAsia="zh-CN"/>
        </w:rPr>
        <w:t>19</w:t>
      </w:r>
      <w:r>
        <w:rPr>
          <w:rFonts w:hint="eastAsia" w:ascii="宋体" w:hAnsi="宋体" w:eastAsia="宋体" w:cs="宋体"/>
          <w:b/>
          <w:bCs/>
          <w:color w:val="auto"/>
          <w:sz w:val="24"/>
          <w:highlight w:val="none"/>
        </w:rPr>
        <w:t>. 投标文件的密封及标记</w:t>
      </w:r>
    </w:p>
    <w:p w14:paraId="6FA66719">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Times New Roman"/>
          <w:color w:val="auto"/>
          <w:sz w:val="24"/>
          <w:highlight w:val="none"/>
        </w:rPr>
      </w:pPr>
      <w:r>
        <w:rPr>
          <w:rFonts w:hint="eastAsia" w:ascii="宋体" w:hAnsi="宋体" w:eastAsia="宋体" w:cs="宋体"/>
          <w:color w:val="auto"/>
          <w:kern w:val="2"/>
          <w:sz w:val="24"/>
          <w:szCs w:val="24"/>
          <w:highlight w:val="none"/>
          <w:lang w:val="en-US" w:eastAsia="zh-CN" w:bidi="ar-SA"/>
        </w:rPr>
        <w:t>投标文件的正本和副本一起密封在一个封套内，并在封套的密封口上加盖单位章。封套上应写明招标人名称、招标项目名称、投标人名称。投标人应对所递交的投标文件包封的完整性负责,招标人或代理机构在开标会上不再对文件包装的完整性进行查验。</w:t>
      </w:r>
    </w:p>
    <w:p w14:paraId="69267684">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0</w:t>
      </w:r>
      <w:r>
        <w:rPr>
          <w:rFonts w:hint="eastAsia" w:ascii="宋体" w:hAnsi="宋体" w:eastAsia="宋体" w:cs="宋体"/>
          <w:b/>
          <w:bCs/>
          <w:color w:val="auto"/>
          <w:sz w:val="24"/>
          <w:highlight w:val="none"/>
        </w:rPr>
        <w:t xml:space="preserve">. </w:t>
      </w:r>
      <w:r>
        <w:rPr>
          <w:rFonts w:hint="eastAsia" w:ascii="宋体" w:hAnsi="宋体" w:eastAsia="宋体" w:cs="宋体"/>
          <w:b/>
          <w:color w:val="auto"/>
          <w:sz w:val="24"/>
          <w:highlight w:val="none"/>
        </w:rPr>
        <w:t>投标文件的提交地点、提交截止时间</w:t>
      </w:r>
    </w:p>
    <w:p w14:paraId="74688D9F">
      <w:pPr>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新宋体" w:hAnsi="新宋体" w:eastAsia="新宋体" w:cs="Times New Roman"/>
          <w:color w:val="auto"/>
          <w:sz w:val="24"/>
          <w:highlight w:val="none"/>
          <w:shd w:val="clear" w:color="auto" w:fill="auto"/>
        </w:rPr>
        <w:t>20.1</w:t>
      </w:r>
      <w:r>
        <w:rPr>
          <w:rFonts w:hint="eastAsia" w:ascii="宋体" w:hAnsi="宋体" w:eastAsia="宋体" w:cs="Times New Roman"/>
          <w:color w:val="auto"/>
          <w:sz w:val="24"/>
          <w:highlight w:val="none"/>
          <w:shd w:val="clear" w:color="auto" w:fill="auto"/>
        </w:rPr>
        <w:t>投标文件的递交地点为：</w:t>
      </w:r>
      <w:r>
        <w:rPr>
          <w:rFonts w:hint="eastAsia" w:ascii="宋体" w:hAnsi="宋体" w:eastAsia="宋体" w:cs="宋体"/>
          <w:color w:val="auto"/>
          <w:kern w:val="0"/>
          <w:sz w:val="24"/>
          <w:highlight w:val="none"/>
          <w:u w:val="single"/>
          <w:shd w:val="clear" w:color="auto" w:fill="auto"/>
          <w:lang w:eastAsia="zh-CN"/>
        </w:rPr>
        <w:t>福建省莆田市</w:t>
      </w:r>
      <w:r>
        <w:rPr>
          <w:rFonts w:hint="eastAsia" w:ascii="宋体" w:hAnsi="宋体" w:eastAsia="宋体" w:cs="宋体"/>
          <w:color w:val="auto"/>
          <w:kern w:val="0"/>
          <w:sz w:val="24"/>
          <w:highlight w:val="none"/>
          <w:u w:val="single"/>
          <w:shd w:val="clear" w:color="auto" w:fill="auto"/>
          <w:lang w:val="en-US" w:eastAsia="zh-CN"/>
        </w:rPr>
        <w:t>荔城</w:t>
      </w:r>
      <w:r>
        <w:rPr>
          <w:rFonts w:hint="eastAsia" w:ascii="宋体" w:hAnsi="宋体" w:eastAsia="宋体" w:cs="宋体"/>
          <w:color w:val="auto"/>
          <w:kern w:val="0"/>
          <w:sz w:val="24"/>
          <w:highlight w:val="none"/>
          <w:u w:val="single"/>
          <w:shd w:val="clear" w:color="auto" w:fill="auto"/>
          <w:lang w:eastAsia="zh-CN"/>
        </w:rPr>
        <w:t>区</w:t>
      </w:r>
      <w:r>
        <w:rPr>
          <w:rFonts w:hint="eastAsia" w:ascii="宋体" w:hAnsi="宋体" w:eastAsia="宋体" w:cs="宋体"/>
          <w:color w:val="auto"/>
          <w:kern w:val="0"/>
          <w:sz w:val="24"/>
          <w:highlight w:val="none"/>
          <w:u w:val="single"/>
          <w:shd w:val="clear" w:color="auto" w:fill="auto"/>
          <w:lang w:val="en-US" w:eastAsia="zh-CN"/>
        </w:rPr>
        <w:t>镇海街道丰美小区10号楼5层502室</w:t>
      </w:r>
      <w:r>
        <w:rPr>
          <w:rFonts w:hint="eastAsia" w:ascii="宋体" w:hAnsi="宋体" w:eastAsia="宋体" w:cs="Times New Roman"/>
          <w:color w:val="auto"/>
          <w:sz w:val="24"/>
          <w:highlight w:val="none"/>
          <w:u w:val="single"/>
          <w:shd w:val="clear" w:color="auto" w:fill="auto"/>
          <w:lang w:eastAsia="zh-CN"/>
        </w:rPr>
        <w:t>，</w:t>
      </w:r>
      <w:r>
        <w:rPr>
          <w:rFonts w:hint="eastAsia" w:ascii="宋体" w:hAnsi="宋体" w:eastAsia="宋体" w:cs="Times New Roman"/>
          <w:color w:val="auto"/>
          <w:sz w:val="24"/>
          <w:highlight w:val="none"/>
          <w:shd w:val="clear" w:color="auto" w:fill="auto"/>
        </w:rPr>
        <w:t>投标文件的递交截止时间是：</w:t>
      </w:r>
      <w:r>
        <w:rPr>
          <w:rFonts w:hint="eastAsia" w:ascii="宋体" w:hAnsi="宋体" w:eastAsia="宋体" w:cs="Times New Roman"/>
          <w:color w:val="auto"/>
          <w:spacing w:val="-6"/>
          <w:sz w:val="24"/>
          <w:highlight w:val="none"/>
          <w:u w:val="single"/>
          <w:shd w:val="clear" w:color="auto" w:fill="auto"/>
          <w:lang w:val="en-US" w:eastAsia="zh-CN"/>
        </w:rPr>
        <w:t>2025</w:t>
      </w:r>
      <w:r>
        <w:rPr>
          <w:rFonts w:hint="eastAsia" w:ascii="宋体" w:hAnsi="宋体" w:eastAsia="宋体" w:cs="Times New Roman"/>
          <w:color w:val="auto"/>
          <w:sz w:val="24"/>
          <w:highlight w:val="none"/>
          <w:shd w:val="clear" w:color="auto" w:fill="auto"/>
        </w:rPr>
        <w:t>年</w:t>
      </w:r>
      <w:r>
        <w:rPr>
          <w:rFonts w:hint="eastAsia" w:ascii="宋体" w:hAnsi="宋体" w:eastAsia="宋体" w:cs="Times New Roman"/>
          <w:color w:val="auto"/>
          <w:spacing w:val="-6"/>
          <w:sz w:val="24"/>
          <w:highlight w:val="none"/>
          <w:u w:val="single"/>
          <w:shd w:val="clear" w:color="auto" w:fill="auto"/>
          <w:lang w:val="en-US" w:eastAsia="zh-CN"/>
        </w:rPr>
        <w:t xml:space="preserve"> </w:t>
      </w:r>
      <w:r>
        <w:rPr>
          <w:rFonts w:hint="eastAsia" w:ascii="宋体" w:hAnsi="宋体" w:cs="Times New Roman"/>
          <w:color w:val="auto"/>
          <w:spacing w:val="-6"/>
          <w:sz w:val="24"/>
          <w:highlight w:val="none"/>
          <w:u w:val="single"/>
          <w:shd w:val="clear" w:color="auto" w:fill="auto"/>
          <w:lang w:val="en-US" w:eastAsia="zh-CN"/>
        </w:rPr>
        <w:t>11</w:t>
      </w:r>
      <w:r>
        <w:rPr>
          <w:rFonts w:hint="eastAsia" w:ascii="宋体" w:hAnsi="宋体" w:eastAsia="宋体" w:cs="Times New Roman"/>
          <w:color w:val="auto"/>
          <w:spacing w:val="-6"/>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rPr>
        <w:t>月</w:t>
      </w:r>
      <w:r>
        <w:rPr>
          <w:rFonts w:hint="eastAsia" w:ascii="宋体" w:hAnsi="宋体" w:eastAsia="宋体" w:cs="Times New Roman"/>
          <w:color w:val="auto"/>
          <w:sz w:val="24"/>
          <w:highlight w:val="none"/>
          <w:shd w:val="clear" w:color="auto" w:fill="auto"/>
          <w:lang w:val="en-US" w:eastAsia="zh-CN"/>
        </w:rPr>
        <w:t xml:space="preserve"> </w:t>
      </w:r>
      <w:r>
        <w:rPr>
          <w:rFonts w:hint="eastAsia" w:ascii="宋体" w:hAnsi="宋体" w:eastAsia="宋体" w:cs="Times New Roman"/>
          <w:color w:val="auto"/>
          <w:spacing w:val="-6"/>
          <w:sz w:val="24"/>
          <w:highlight w:val="none"/>
          <w:u w:val="single"/>
          <w:shd w:val="clear" w:color="auto" w:fill="auto"/>
          <w:lang w:val="en-US" w:eastAsia="zh-CN"/>
        </w:rPr>
        <w:t xml:space="preserve"> </w:t>
      </w:r>
      <w:r>
        <w:rPr>
          <w:rFonts w:hint="eastAsia" w:ascii="宋体" w:hAnsi="宋体" w:cs="Times New Roman"/>
          <w:color w:val="auto"/>
          <w:spacing w:val="-6"/>
          <w:sz w:val="24"/>
          <w:highlight w:val="none"/>
          <w:u w:val="single"/>
          <w:shd w:val="clear" w:color="auto" w:fill="auto"/>
          <w:lang w:val="en-US" w:eastAsia="zh-CN"/>
        </w:rPr>
        <w:t>17</w:t>
      </w:r>
      <w:r>
        <w:rPr>
          <w:rFonts w:hint="eastAsia" w:ascii="宋体" w:hAnsi="宋体" w:eastAsia="宋体" w:cs="Times New Roman"/>
          <w:color w:val="auto"/>
          <w:spacing w:val="-6"/>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shd w:val="clear" w:color="auto" w:fill="auto"/>
        </w:rPr>
        <w:t>日</w:t>
      </w:r>
      <w:r>
        <w:rPr>
          <w:rFonts w:hint="eastAsia" w:ascii="宋体" w:hAnsi="宋体" w:eastAsia="宋体" w:cs="Times New Roman"/>
          <w:color w:val="auto"/>
          <w:spacing w:val="-6"/>
          <w:sz w:val="24"/>
          <w:highlight w:val="none"/>
          <w:u w:val="single"/>
          <w:shd w:val="clear" w:color="auto" w:fill="auto"/>
          <w:lang w:val="en-US" w:eastAsia="zh-CN"/>
        </w:rPr>
        <w:t xml:space="preserve"> 8  </w:t>
      </w:r>
      <w:r>
        <w:rPr>
          <w:rFonts w:hint="eastAsia" w:ascii="宋体" w:hAnsi="宋体" w:eastAsia="宋体" w:cs="Times New Roman"/>
          <w:color w:val="auto"/>
          <w:sz w:val="24"/>
          <w:highlight w:val="none"/>
          <w:shd w:val="clear" w:color="auto" w:fill="auto"/>
        </w:rPr>
        <w:t>时</w:t>
      </w:r>
      <w:r>
        <w:rPr>
          <w:rFonts w:hint="eastAsia" w:ascii="宋体" w:hAnsi="宋体" w:eastAsia="宋体" w:cs="Times New Roman"/>
          <w:color w:val="auto"/>
          <w:spacing w:val="-6"/>
          <w:sz w:val="24"/>
          <w:highlight w:val="none"/>
          <w:u w:val="single"/>
          <w:shd w:val="clear" w:color="auto" w:fill="auto"/>
          <w:lang w:val="en-US" w:eastAsia="zh-CN"/>
        </w:rPr>
        <w:t xml:space="preserve"> 30 </w:t>
      </w:r>
      <w:r>
        <w:rPr>
          <w:rFonts w:hint="eastAsia" w:ascii="宋体" w:hAnsi="宋体" w:eastAsia="宋体" w:cs="Times New Roman"/>
          <w:color w:val="auto"/>
          <w:sz w:val="24"/>
          <w:highlight w:val="none"/>
          <w:shd w:val="clear" w:color="auto" w:fill="auto"/>
        </w:rPr>
        <w:t>分。</w:t>
      </w:r>
    </w:p>
    <w:p w14:paraId="761A375D">
      <w:pPr>
        <w:spacing w:line="440" w:lineRule="exact"/>
        <w:ind w:firstLine="482"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b/>
          <w:color w:val="auto"/>
          <w:sz w:val="24"/>
          <w:highlight w:val="none"/>
          <w:shd w:val="clear" w:color="auto" w:fill="auto"/>
        </w:rPr>
        <w:t>20.2</w:t>
      </w:r>
      <w:r>
        <w:rPr>
          <w:rFonts w:hint="eastAsia" w:ascii="新宋体" w:hAnsi="新宋体" w:eastAsia="新宋体" w:cs="Times New Roman"/>
          <w:b/>
          <w:color w:val="auto"/>
          <w:sz w:val="24"/>
          <w:highlight w:val="none"/>
          <w:shd w:val="clear" w:color="auto" w:fill="auto"/>
        </w:rPr>
        <w:t>逾期送达或未送达指定地点的投标文件，招标人将拒绝接收。</w:t>
      </w:r>
    </w:p>
    <w:p w14:paraId="3DDF9BE1">
      <w:pPr>
        <w:spacing w:line="440" w:lineRule="exact"/>
        <w:ind w:firstLine="482"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b/>
          <w:color w:val="auto"/>
          <w:sz w:val="24"/>
          <w:highlight w:val="none"/>
          <w:shd w:val="clear" w:color="auto" w:fill="auto"/>
        </w:rPr>
        <w:t>20.3到投标截止时间止，招标人收到的投标文件少于3家的，招标人重新组织招投标。</w:t>
      </w:r>
    </w:p>
    <w:p w14:paraId="56611A01">
      <w:pPr>
        <w:spacing w:line="38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（五）开标、评标</w:t>
      </w:r>
    </w:p>
    <w:p w14:paraId="45FC355B">
      <w:pPr>
        <w:keepNext w:val="0"/>
        <w:keepLines w:val="0"/>
        <w:pageBreakBefore w:val="0"/>
        <w:kinsoku/>
        <w:overflowPunct/>
        <w:topLinePunct w:val="0"/>
        <w:autoSpaceDE/>
        <w:autoSpaceDN/>
        <w:bidi w:val="0"/>
        <w:adjustRightInd/>
        <w:spacing w:line="44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1</w:t>
      </w:r>
      <w:r>
        <w:rPr>
          <w:rFonts w:hint="eastAsia" w:ascii="宋体" w:hAnsi="宋体" w:eastAsia="宋体" w:cs="宋体"/>
          <w:b/>
          <w:bCs/>
          <w:color w:val="auto"/>
          <w:sz w:val="24"/>
          <w:highlight w:val="none"/>
        </w:rPr>
        <w:t>. 开标</w:t>
      </w:r>
    </w:p>
    <w:p w14:paraId="638C9201">
      <w:pPr>
        <w:keepNext w:val="0"/>
        <w:keepLines w:val="0"/>
        <w:pageBreakBefore w:val="0"/>
        <w:kinsoku/>
        <w:overflowPunct/>
        <w:topLinePunct w:val="0"/>
        <w:autoSpaceDE/>
        <w:autoSpaceDN/>
        <w:bidi w:val="0"/>
        <w:adjustRightInd/>
        <w:spacing w:line="440" w:lineRule="exact"/>
        <w:ind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.1</w:t>
      </w:r>
      <w:r>
        <w:rPr>
          <w:rFonts w:hint="eastAsia" w:ascii="宋体" w:hAnsi="宋体" w:eastAsia="宋体" w:cs="宋体"/>
          <w:color w:val="auto"/>
          <w:sz w:val="24"/>
          <w:highlight w:val="none"/>
          <w:lang w:eastAsia="zh-Hans"/>
        </w:rPr>
        <w:t>开标</w:t>
      </w:r>
      <w:r>
        <w:rPr>
          <w:rFonts w:hint="eastAsia" w:ascii="宋体" w:hAnsi="宋体" w:eastAsia="宋体" w:cs="宋体"/>
          <w:color w:val="auto"/>
          <w:sz w:val="24"/>
          <w:highlight w:val="none"/>
        </w:rPr>
        <w:t>会定于</w:t>
      </w:r>
      <w:r>
        <w:rPr>
          <w:rFonts w:hint="eastAsia" w:ascii="宋体" w:hAnsi="宋体" w:eastAsia="宋体" w:cs="宋体"/>
          <w:b/>
          <w:bCs/>
          <w:color w:val="auto"/>
          <w:sz w:val="24"/>
          <w:highlight w:val="none"/>
          <w:u w:val="single"/>
        </w:rPr>
        <w:t>202</w:t>
      </w:r>
      <w:r>
        <w:rPr>
          <w:rFonts w:hint="eastAsia" w:ascii="宋体" w:hAnsi="宋体" w:cs="宋体"/>
          <w:b/>
          <w:bCs/>
          <w:color w:val="auto"/>
          <w:sz w:val="24"/>
          <w:highlight w:val="none"/>
          <w:u w:val="single"/>
          <w:lang w:val="en-US" w:eastAsia="zh-CN"/>
        </w:rPr>
        <w:t>5</w:t>
      </w:r>
      <w:r>
        <w:rPr>
          <w:rFonts w:hint="eastAsia" w:ascii="宋体" w:hAnsi="宋体" w:eastAsia="宋体" w:cs="宋体"/>
          <w:b/>
          <w:bCs/>
          <w:color w:val="auto"/>
          <w:sz w:val="24"/>
          <w:highlight w:val="none"/>
          <w:u w:val="none"/>
        </w:rPr>
        <w:t>年</w:t>
      </w:r>
      <w:r>
        <w:rPr>
          <w:rFonts w:hint="eastAsia" w:ascii="宋体" w:hAnsi="宋体" w:cs="宋体"/>
          <w:b/>
          <w:bCs/>
          <w:color w:val="auto"/>
          <w:sz w:val="24"/>
          <w:highlight w:val="none"/>
          <w:u w:val="single"/>
          <w:lang w:val="en-US" w:eastAsia="zh-CN"/>
        </w:rPr>
        <w:t xml:space="preserve"> 11  </w:t>
      </w:r>
      <w:r>
        <w:rPr>
          <w:rFonts w:hint="eastAsia" w:ascii="宋体" w:hAnsi="宋体" w:eastAsia="宋体" w:cs="宋体"/>
          <w:b/>
          <w:bCs/>
          <w:color w:val="auto"/>
          <w:sz w:val="24"/>
          <w:highlight w:val="none"/>
          <w:u w:val="none"/>
        </w:rPr>
        <w:t>月</w:t>
      </w:r>
      <w:r>
        <w:rPr>
          <w:rFonts w:hint="eastAsia" w:ascii="宋体" w:hAnsi="宋体" w:cs="宋体"/>
          <w:b/>
          <w:bCs/>
          <w:color w:val="auto"/>
          <w:sz w:val="24"/>
          <w:highlight w:val="none"/>
          <w:u w:val="single"/>
          <w:lang w:val="en-US" w:eastAsia="zh-CN"/>
        </w:rPr>
        <w:t xml:space="preserve"> 17 </w:t>
      </w:r>
      <w:r>
        <w:rPr>
          <w:rFonts w:hint="eastAsia" w:ascii="宋体" w:hAnsi="宋体" w:eastAsia="宋体" w:cs="宋体"/>
          <w:b/>
          <w:bCs/>
          <w:color w:val="auto"/>
          <w:sz w:val="24"/>
          <w:highlight w:val="none"/>
          <w:u w:val="none"/>
        </w:rPr>
        <w:t>日</w:t>
      </w:r>
      <w:r>
        <w:rPr>
          <w:rFonts w:hint="eastAsia" w:ascii="宋体" w:hAnsi="宋体" w:cs="宋体"/>
          <w:b/>
          <w:bCs/>
          <w:color w:val="auto"/>
          <w:sz w:val="24"/>
          <w:highlight w:val="none"/>
          <w:u w:val="single"/>
          <w:lang w:val="en-US" w:eastAsia="zh-CN"/>
        </w:rPr>
        <w:t>8</w:t>
      </w:r>
      <w:r>
        <w:rPr>
          <w:rFonts w:hint="eastAsia" w:ascii="宋体" w:hAnsi="宋体" w:eastAsia="宋体" w:cs="宋体"/>
          <w:b/>
          <w:bCs/>
          <w:color w:val="auto"/>
          <w:sz w:val="24"/>
          <w:highlight w:val="none"/>
          <w:u w:val="none"/>
        </w:rPr>
        <w:t>时</w:t>
      </w:r>
      <w:r>
        <w:rPr>
          <w:rFonts w:hint="eastAsia" w:ascii="宋体" w:hAnsi="宋体" w:eastAsia="宋体" w:cs="宋体"/>
          <w:b/>
          <w:bCs/>
          <w:color w:val="auto"/>
          <w:sz w:val="24"/>
          <w:highlight w:val="none"/>
          <w:u w:val="single"/>
          <w:lang w:val="en-US" w:eastAsia="zh-CN"/>
        </w:rPr>
        <w:t>30</w:t>
      </w:r>
      <w:r>
        <w:rPr>
          <w:rFonts w:hint="eastAsia" w:ascii="宋体" w:hAnsi="宋体" w:eastAsia="宋体" w:cs="宋体"/>
          <w:b/>
          <w:bCs/>
          <w:color w:val="auto"/>
          <w:sz w:val="24"/>
          <w:highlight w:val="none"/>
          <w:u w:val="none"/>
        </w:rPr>
        <w:t>分</w:t>
      </w:r>
      <w:r>
        <w:rPr>
          <w:rFonts w:hint="eastAsia" w:ascii="宋体" w:hAnsi="宋体" w:cs="宋体"/>
          <w:color w:val="auto"/>
          <w:sz w:val="24"/>
          <w:highlight w:val="none"/>
          <w:u w:val="single"/>
          <w:lang w:eastAsia="zh-CN"/>
        </w:rPr>
        <w:t>在</w:t>
      </w:r>
      <w:r>
        <w:rPr>
          <w:rFonts w:hint="eastAsia" w:ascii="宋体" w:hAnsi="宋体" w:eastAsia="宋体" w:cs="宋体"/>
          <w:color w:val="auto"/>
          <w:kern w:val="0"/>
          <w:sz w:val="24"/>
          <w:highlight w:val="none"/>
          <w:u w:val="single"/>
          <w:shd w:val="clear" w:color="auto" w:fill="auto"/>
          <w:lang w:eastAsia="zh-CN"/>
        </w:rPr>
        <w:t>福建省莆田市</w:t>
      </w:r>
      <w:r>
        <w:rPr>
          <w:rFonts w:hint="eastAsia" w:ascii="宋体" w:hAnsi="宋体" w:eastAsia="宋体" w:cs="宋体"/>
          <w:color w:val="auto"/>
          <w:kern w:val="0"/>
          <w:sz w:val="24"/>
          <w:highlight w:val="none"/>
          <w:u w:val="single"/>
          <w:shd w:val="clear" w:color="auto" w:fill="auto"/>
          <w:lang w:val="en-US" w:eastAsia="zh-CN"/>
        </w:rPr>
        <w:t>荔城</w:t>
      </w:r>
      <w:r>
        <w:rPr>
          <w:rFonts w:hint="eastAsia" w:ascii="宋体" w:hAnsi="宋体" w:eastAsia="宋体" w:cs="宋体"/>
          <w:color w:val="auto"/>
          <w:kern w:val="0"/>
          <w:sz w:val="24"/>
          <w:highlight w:val="none"/>
          <w:u w:val="single"/>
          <w:shd w:val="clear" w:color="auto" w:fill="auto"/>
          <w:lang w:eastAsia="zh-CN"/>
        </w:rPr>
        <w:t>区</w:t>
      </w:r>
      <w:r>
        <w:rPr>
          <w:rFonts w:hint="eastAsia" w:ascii="宋体" w:hAnsi="宋体" w:eastAsia="宋体" w:cs="宋体"/>
          <w:color w:val="auto"/>
          <w:kern w:val="0"/>
          <w:sz w:val="24"/>
          <w:highlight w:val="none"/>
          <w:u w:val="single"/>
          <w:shd w:val="clear" w:color="auto" w:fill="auto"/>
          <w:lang w:val="en-US" w:eastAsia="zh-CN"/>
        </w:rPr>
        <w:t>镇海街道丰美小区10号楼5层502室</w:t>
      </w:r>
      <w:r>
        <w:rPr>
          <w:rFonts w:hint="eastAsia" w:ascii="宋体" w:hAnsi="宋体" w:eastAsia="宋体" w:cs="宋体"/>
          <w:color w:val="auto"/>
          <w:sz w:val="24"/>
          <w:highlight w:val="none"/>
        </w:rPr>
        <w:t>进行，</w:t>
      </w:r>
      <w:r>
        <w:rPr>
          <w:rFonts w:hint="eastAsia" w:ascii="宋体" w:hAnsi="宋体" w:eastAsia="宋体" w:cs="Times New Roman"/>
          <w:color w:val="auto"/>
          <w:sz w:val="24"/>
          <w:highlight w:val="none"/>
        </w:rPr>
        <w:t>开标会由招标人或招标代理机构主持并邀请行政监督门参加</w:t>
      </w:r>
      <w:r>
        <w:rPr>
          <w:rFonts w:hint="eastAsia" w:ascii="宋体" w:hAnsi="宋体" w:eastAsia="宋体" w:cs="Times New Roman"/>
          <w:color w:val="auto"/>
          <w:sz w:val="24"/>
          <w:highlight w:val="none"/>
          <w:lang w:eastAsia="zh-CN"/>
        </w:rPr>
        <w:t>。</w:t>
      </w:r>
      <w:r>
        <w:rPr>
          <w:rFonts w:hint="eastAsia" w:ascii="宋体" w:hAnsi="宋体" w:eastAsia="宋体" w:cs="宋体"/>
          <w:color w:val="auto"/>
          <w:sz w:val="24"/>
          <w:highlight w:val="none"/>
          <w:shd w:val="clear" w:color="auto" w:fill="auto"/>
          <w:lang w:eastAsia="zh-Hans"/>
        </w:rPr>
        <w:t>投标人的法定代表人或其委托的代理人必须参加开标会。</w:t>
      </w:r>
    </w:p>
    <w:p w14:paraId="5B99F2FB">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bCs/>
          <w:color w:val="auto"/>
          <w:sz w:val="24"/>
          <w:highlight w:val="none"/>
          <w:shd w:val="clear" w:color="auto" w:fill="auto"/>
        </w:rPr>
        <w:t>21.2</w:t>
      </w:r>
      <w:r>
        <w:rPr>
          <w:rFonts w:hint="eastAsia" w:ascii="新宋体" w:hAnsi="新宋体" w:eastAsia="新宋体" w:cs="Times New Roman"/>
          <w:b/>
          <w:color w:val="auto"/>
          <w:sz w:val="24"/>
          <w:highlight w:val="none"/>
          <w:shd w:val="clear" w:color="auto" w:fill="auto"/>
        </w:rPr>
        <w:t>投标人的法定代表人参加开标会的，</w:t>
      </w:r>
      <w:r>
        <w:rPr>
          <w:rFonts w:hint="eastAsia" w:ascii="新宋体" w:hAnsi="新宋体" w:eastAsia="新宋体" w:cs="Times New Roman"/>
          <w:b/>
          <w:bCs/>
          <w:color w:val="auto"/>
          <w:sz w:val="24"/>
          <w:highlight w:val="none"/>
          <w:shd w:val="clear" w:color="auto" w:fill="auto"/>
        </w:rPr>
        <w:t>须随带个人身份证和法定代表人资格证明书；如是法定代表人</w:t>
      </w:r>
      <w:r>
        <w:rPr>
          <w:rFonts w:hint="eastAsia" w:ascii="新宋体" w:hAnsi="新宋体" w:eastAsia="新宋体" w:cs="Times New Roman"/>
          <w:b/>
          <w:color w:val="auto"/>
          <w:sz w:val="24"/>
          <w:highlight w:val="none"/>
          <w:shd w:val="clear" w:color="auto" w:fill="auto"/>
        </w:rPr>
        <w:t>的委托代理人参加开标会的，须随带</w:t>
      </w:r>
      <w:r>
        <w:rPr>
          <w:rFonts w:hint="eastAsia" w:ascii="新宋体" w:hAnsi="新宋体" w:eastAsia="新宋体" w:cs="Times New Roman"/>
          <w:b/>
          <w:bCs/>
          <w:color w:val="auto"/>
          <w:sz w:val="24"/>
          <w:highlight w:val="none"/>
          <w:shd w:val="clear" w:color="auto" w:fill="auto"/>
        </w:rPr>
        <w:t>个人身份证和</w:t>
      </w:r>
      <w:r>
        <w:rPr>
          <w:rFonts w:hint="eastAsia" w:ascii="新宋体" w:hAnsi="新宋体" w:eastAsia="新宋体" w:cs="Times New Roman"/>
          <w:b/>
          <w:color w:val="auto"/>
          <w:sz w:val="24"/>
          <w:highlight w:val="none"/>
          <w:shd w:val="clear" w:color="auto" w:fill="auto"/>
        </w:rPr>
        <w:t>法定代表人的</w:t>
      </w:r>
      <w:r>
        <w:rPr>
          <w:rFonts w:hint="eastAsia" w:ascii="新宋体" w:hAnsi="新宋体" w:eastAsia="新宋体" w:cs="Times New Roman"/>
          <w:b/>
          <w:bCs/>
          <w:color w:val="auto"/>
          <w:sz w:val="24"/>
          <w:highlight w:val="none"/>
          <w:shd w:val="clear" w:color="auto" w:fill="auto"/>
        </w:rPr>
        <w:t>授权委托书</w:t>
      </w:r>
      <w:r>
        <w:rPr>
          <w:rFonts w:hint="eastAsia" w:ascii="新宋体" w:hAnsi="新宋体" w:eastAsia="新宋体" w:cs="Times New Roman"/>
          <w:b/>
          <w:color w:val="auto"/>
          <w:sz w:val="24"/>
          <w:highlight w:val="none"/>
          <w:shd w:val="clear" w:color="auto" w:fill="auto"/>
        </w:rPr>
        <w:t>。</w:t>
      </w:r>
    </w:p>
    <w:p w14:paraId="3B9817DD">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21.3资格审查小组</w:t>
      </w:r>
    </w:p>
    <w:p w14:paraId="5ECC7859">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招标人不组建评标委员会，由招标人代表、招标代理机构代表等3人</w:t>
      </w:r>
      <w:r>
        <w:rPr>
          <w:rFonts w:hint="eastAsia" w:ascii="宋体" w:hAnsi="宋体" w:eastAsia="宋体" w:cs="Times New Roman"/>
          <w:color w:val="auto"/>
          <w:sz w:val="24"/>
          <w:highlight w:val="none"/>
          <w:shd w:val="clear" w:color="auto" w:fill="auto"/>
          <w:lang w:val="en-US" w:eastAsia="zh-CN"/>
        </w:rPr>
        <w:t>及</w:t>
      </w:r>
      <w:r>
        <w:rPr>
          <w:rFonts w:hint="eastAsia" w:ascii="宋体" w:hAnsi="宋体" w:eastAsia="宋体" w:cs="Times New Roman"/>
          <w:color w:val="auto"/>
          <w:sz w:val="24"/>
          <w:highlight w:val="none"/>
          <w:shd w:val="clear" w:color="auto" w:fill="auto"/>
        </w:rPr>
        <w:t>以上组成资格审查小组，对投标人的资格、资质和投标文件的有效性进行审查。</w:t>
      </w:r>
    </w:p>
    <w:p w14:paraId="766E5396">
      <w:pPr>
        <w:tabs>
          <w:tab w:val="left" w:pos="540"/>
          <w:tab w:val="left" w:pos="1260"/>
        </w:tabs>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21.4开标程序：</w:t>
      </w:r>
    </w:p>
    <w:p w14:paraId="79A5B961">
      <w:pPr>
        <w:wordWrap w:val="0"/>
        <w:spacing w:line="440" w:lineRule="exact"/>
        <w:ind w:firstLine="480" w:firstLineChars="200"/>
        <w:jc w:val="left"/>
        <w:rPr>
          <w:rFonts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(1)主持人介绍参加开标会的有关单位；</w:t>
      </w:r>
    </w:p>
    <w:p w14:paraId="0520AE58">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(2)主持人宣布开标纪律。</w:t>
      </w:r>
    </w:p>
    <w:p w14:paraId="7EB191DB">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(3)查验投标人代表的身份、投标人的资格。</w:t>
      </w:r>
    </w:p>
    <w:p w14:paraId="53E217B6">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bCs/>
          <w:color w:val="auto"/>
          <w:sz w:val="24"/>
          <w:highlight w:val="none"/>
          <w:shd w:val="clear" w:color="auto" w:fill="auto"/>
        </w:rPr>
        <w:t>存在下列情形之一的，招标人不予开启其投标文件并予以退还：</w:t>
      </w:r>
    </w:p>
    <w:p w14:paraId="2A1A0DFA">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bCs/>
          <w:color w:val="auto"/>
          <w:sz w:val="24"/>
          <w:highlight w:val="none"/>
          <w:shd w:val="clear" w:color="auto" w:fill="auto"/>
        </w:rPr>
        <w:t>1)投标文件逾期送达的；</w:t>
      </w:r>
    </w:p>
    <w:p w14:paraId="6B8E0D56">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bCs/>
          <w:color w:val="auto"/>
          <w:sz w:val="24"/>
          <w:highlight w:val="none"/>
          <w:shd w:val="clear" w:color="auto" w:fill="auto"/>
        </w:rPr>
        <w:t>2)投标人代表未按投标须知第21.2款要求提交法定代表人资格证明书或法定代表人授权委托书或有效个人身份证明的；</w:t>
      </w:r>
    </w:p>
    <w:p w14:paraId="493D2300">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bCs/>
          <w:color w:val="auto"/>
          <w:sz w:val="24"/>
          <w:highlight w:val="none"/>
          <w:shd w:val="clear" w:color="auto" w:fill="auto"/>
        </w:rPr>
        <w:t>3)法定代表人资格证明书或法定代表人授权委托书未按招标文件格式要求签字、盖章的；</w:t>
      </w:r>
    </w:p>
    <w:p w14:paraId="54B76E87">
      <w:pPr>
        <w:wordWrap w:val="0"/>
        <w:spacing w:line="440" w:lineRule="exact"/>
        <w:ind w:firstLine="482" w:firstLineChars="200"/>
        <w:jc w:val="left"/>
        <w:rPr>
          <w:rFonts w:hint="eastAsia" w:ascii="宋体" w:hAnsi="宋体" w:eastAsia="宋体" w:cs="Arial"/>
          <w:b/>
          <w:color w:val="auto"/>
          <w:sz w:val="24"/>
          <w:highlight w:val="none"/>
          <w:shd w:val="clear" w:color="auto" w:fill="auto"/>
        </w:rPr>
      </w:pPr>
      <w:r>
        <w:rPr>
          <w:rFonts w:hint="eastAsia" w:ascii="宋体" w:hAnsi="宋体" w:eastAsia="宋体" w:cs="Arial"/>
          <w:b/>
          <w:color w:val="auto"/>
          <w:sz w:val="24"/>
          <w:highlight w:val="none"/>
          <w:shd w:val="clear" w:color="auto" w:fill="auto"/>
          <w:lang w:val="en-US" w:eastAsia="zh-CN"/>
        </w:rPr>
        <w:t>4</w:t>
      </w:r>
      <w:r>
        <w:rPr>
          <w:rFonts w:hint="eastAsia" w:ascii="宋体" w:hAnsi="宋体" w:eastAsia="宋体" w:cs="Arial"/>
          <w:b/>
          <w:color w:val="auto"/>
          <w:sz w:val="24"/>
          <w:highlight w:val="none"/>
          <w:shd w:val="clear" w:color="auto" w:fill="auto"/>
        </w:rPr>
        <w:t>）非被邀请单位。</w:t>
      </w:r>
    </w:p>
    <w:p w14:paraId="14AC7B5D">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(4) 主持人宣布进入资格审查的投标人名单。</w:t>
      </w:r>
    </w:p>
    <w:p w14:paraId="6B161DE3">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(5) 宣读投标人的投标文件并记录。宣读内容为投标人名称、投标报价、工程质量、工期、项目负责人姓名及其它必要的内容。</w:t>
      </w:r>
    </w:p>
    <w:p w14:paraId="4D9C57CB">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(6) 投标人对开标有异议的，应当在开标现场提出，招标人应当当场作出答复，并制作记录。</w:t>
      </w:r>
    </w:p>
    <w:p w14:paraId="74DDBF21">
      <w:pPr>
        <w:keepNext w:val="0"/>
        <w:keepLines w:val="0"/>
        <w:pageBreakBefore w:val="0"/>
        <w:kinsoku/>
        <w:overflowPunct/>
        <w:topLinePunct w:val="0"/>
        <w:autoSpaceDE/>
        <w:autoSpaceDN/>
        <w:bidi w:val="0"/>
        <w:adjustRightInd/>
        <w:spacing w:line="44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2</w:t>
      </w:r>
      <w:r>
        <w:rPr>
          <w:rFonts w:hint="eastAsia" w:ascii="宋体" w:hAnsi="宋体" w:eastAsia="宋体" w:cs="宋体"/>
          <w:b/>
          <w:bCs/>
          <w:color w:val="auto"/>
          <w:sz w:val="24"/>
          <w:highlight w:val="none"/>
        </w:rPr>
        <w:t xml:space="preserve">. </w:t>
      </w:r>
      <w:r>
        <w:rPr>
          <w:rFonts w:hint="eastAsia" w:ascii="宋体" w:hAnsi="宋体" w:eastAsia="宋体" w:cs="宋体"/>
          <w:b/>
          <w:color w:val="auto"/>
          <w:sz w:val="24"/>
          <w:highlight w:val="none"/>
        </w:rPr>
        <w:t>评标</w:t>
      </w:r>
    </w:p>
    <w:p w14:paraId="62FC5409">
      <w:pPr>
        <w:wordWrap w:val="0"/>
        <w:spacing w:line="440" w:lineRule="exact"/>
        <w:ind w:firstLine="480"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color w:val="auto"/>
          <w:sz w:val="24"/>
          <w:highlight w:val="none"/>
          <w:shd w:val="clear" w:color="auto" w:fill="auto"/>
        </w:rPr>
        <w:t>22.1 资格审查小组审查投标文件，确定进入</w:t>
      </w:r>
      <w:r>
        <w:rPr>
          <w:rFonts w:hint="eastAsia" w:ascii="宋体" w:hAnsi="宋体" w:eastAsia="宋体" w:cs="宋体"/>
          <w:color w:val="auto"/>
          <w:sz w:val="24"/>
          <w:highlight w:val="none"/>
          <w:shd w:val="clear" w:color="auto" w:fill="auto"/>
        </w:rPr>
        <w:t>公开抽取中标人程序的合格投标人名单</w:t>
      </w:r>
      <w:r>
        <w:rPr>
          <w:rFonts w:hint="eastAsia" w:ascii="宋体" w:hAnsi="宋体" w:eastAsia="宋体" w:cs="Times New Roman"/>
          <w:color w:val="auto"/>
          <w:sz w:val="24"/>
          <w:highlight w:val="none"/>
          <w:shd w:val="clear" w:color="auto" w:fill="auto"/>
        </w:rPr>
        <w:t>。</w:t>
      </w:r>
      <w:r>
        <w:rPr>
          <w:rFonts w:hint="eastAsia" w:ascii="宋体" w:hAnsi="宋体" w:eastAsia="宋体" w:cs="Times New Roman"/>
          <w:b/>
          <w:color w:val="auto"/>
          <w:sz w:val="24"/>
          <w:highlight w:val="none"/>
          <w:shd w:val="clear" w:color="auto" w:fill="auto"/>
        </w:rPr>
        <w:t>存在下列情形之一的，应当作为废标处理，不得进入随机抽取程序：</w:t>
      </w:r>
    </w:p>
    <w:p w14:paraId="41DE28B4">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color w:val="auto"/>
          <w:sz w:val="24"/>
          <w:highlight w:val="none"/>
          <w:shd w:val="clear" w:color="auto" w:fill="auto"/>
        </w:rPr>
        <w:t>22</w:t>
      </w:r>
      <w:r>
        <w:rPr>
          <w:rFonts w:hint="eastAsia" w:ascii="宋体" w:hAnsi="宋体" w:eastAsia="宋体" w:cs="Times New Roman"/>
          <w:b/>
          <w:bCs/>
          <w:color w:val="auto"/>
          <w:sz w:val="24"/>
          <w:highlight w:val="none"/>
          <w:shd w:val="clear" w:color="auto" w:fill="auto"/>
        </w:rPr>
        <w:t>.1</w:t>
      </w:r>
      <w:r>
        <w:rPr>
          <w:rFonts w:hint="eastAsia" w:ascii="宋体" w:hAnsi="宋体" w:eastAsia="宋体" w:cs="Times New Roman"/>
          <w:b/>
          <w:color w:val="auto"/>
          <w:kern w:val="0"/>
          <w:sz w:val="24"/>
          <w:highlight w:val="none"/>
          <w:shd w:val="clear" w:color="auto" w:fill="auto"/>
        </w:rPr>
        <w:t>.1</w:t>
      </w:r>
      <w:r>
        <w:rPr>
          <w:rFonts w:hint="eastAsia" w:ascii="宋体" w:hAnsi="宋体" w:eastAsia="宋体" w:cs="Times New Roman"/>
          <w:b/>
          <w:bCs/>
          <w:color w:val="auto"/>
          <w:sz w:val="24"/>
          <w:highlight w:val="none"/>
          <w:shd w:val="clear" w:color="auto" w:fill="auto"/>
        </w:rPr>
        <w:t>投标人的企业营业执照、企业资质证书、施工企业安全生产许可证不符合招标文件要求的；</w:t>
      </w:r>
    </w:p>
    <w:p w14:paraId="4264D762">
      <w:pPr>
        <w:widowControl w:val="0"/>
        <w:wordWrap w:val="0"/>
        <w:adjustRightInd w:val="0"/>
        <w:spacing w:line="440" w:lineRule="exact"/>
        <w:ind w:firstLine="482" w:firstLineChars="200"/>
        <w:jc w:val="left"/>
        <w:rPr>
          <w:rFonts w:hint="eastAsia" w:ascii="宋体" w:hAnsi="宋体" w:eastAsia="宋体" w:cs="Times New Roman"/>
          <w:b/>
          <w:color w:val="auto"/>
          <w:kern w:val="0"/>
          <w:sz w:val="24"/>
          <w:szCs w:val="24"/>
          <w:highlight w:val="none"/>
          <w:shd w:val="clear" w:color="auto" w:fill="auto"/>
          <w:lang w:val="en-US" w:eastAsia="zh-CN" w:bidi="ar-SA"/>
        </w:rPr>
      </w:pPr>
      <w:r>
        <w:rPr>
          <w:rFonts w:hint="eastAsia" w:ascii="宋体" w:hAnsi="宋体" w:eastAsia="宋体" w:cs="Times New Roman"/>
          <w:b/>
          <w:color w:val="auto"/>
          <w:kern w:val="0"/>
          <w:sz w:val="24"/>
          <w:szCs w:val="24"/>
          <w:highlight w:val="none"/>
          <w:shd w:val="clear" w:color="auto" w:fill="auto"/>
          <w:lang w:val="en-US" w:eastAsia="zh-CN" w:bidi="ar-SA"/>
        </w:rPr>
        <w:t>22.1.2投标承诺函未按投标文件格式规定编制、填写内容或签署、盖章的</w:t>
      </w:r>
      <w:r>
        <w:rPr>
          <w:rFonts w:hint="eastAsia" w:ascii="宋体" w:hAnsi="宋体" w:eastAsia="宋体" w:cs="Times New Roman"/>
          <w:b/>
          <w:bCs/>
          <w:color w:val="auto"/>
          <w:kern w:val="0"/>
          <w:sz w:val="24"/>
          <w:szCs w:val="24"/>
          <w:highlight w:val="none"/>
          <w:shd w:val="clear" w:color="auto" w:fill="auto"/>
          <w:lang w:val="en-US" w:eastAsia="zh-CN" w:bidi="ar-SA"/>
        </w:rPr>
        <w:t>；</w:t>
      </w:r>
    </w:p>
    <w:p w14:paraId="2E84D331">
      <w:pPr>
        <w:wordWrap w:val="0"/>
        <w:spacing w:line="440" w:lineRule="exact"/>
        <w:ind w:firstLine="482"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b/>
          <w:color w:val="auto"/>
          <w:sz w:val="24"/>
          <w:highlight w:val="none"/>
          <w:shd w:val="clear" w:color="auto" w:fill="auto"/>
        </w:rPr>
        <w:t>22</w:t>
      </w:r>
      <w:r>
        <w:rPr>
          <w:rFonts w:hint="eastAsia" w:ascii="宋体" w:hAnsi="宋体" w:eastAsia="宋体" w:cs="Times New Roman"/>
          <w:b/>
          <w:bCs/>
          <w:color w:val="auto"/>
          <w:sz w:val="24"/>
          <w:highlight w:val="none"/>
          <w:shd w:val="clear" w:color="auto" w:fill="auto"/>
        </w:rPr>
        <w:t>.1.3投标人的承诺不满足招标文件实质性要求的</w:t>
      </w:r>
      <w:r>
        <w:rPr>
          <w:rFonts w:hint="eastAsia" w:ascii="宋体" w:hAnsi="宋体" w:eastAsia="宋体" w:cs="Times New Roman"/>
          <w:b/>
          <w:color w:val="auto"/>
          <w:sz w:val="24"/>
          <w:highlight w:val="none"/>
          <w:shd w:val="clear" w:color="auto" w:fill="auto"/>
        </w:rPr>
        <w:t>；</w:t>
      </w:r>
    </w:p>
    <w:p w14:paraId="1A7E802E">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color w:val="auto"/>
          <w:sz w:val="24"/>
          <w:highlight w:val="none"/>
          <w:shd w:val="clear" w:color="auto" w:fill="auto"/>
        </w:rPr>
        <w:t>22</w:t>
      </w:r>
      <w:r>
        <w:rPr>
          <w:rFonts w:hint="eastAsia" w:ascii="宋体" w:hAnsi="宋体" w:eastAsia="宋体" w:cs="Times New Roman"/>
          <w:b/>
          <w:bCs/>
          <w:color w:val="auto"/>
          <w:sz w:val="24"/>
          <w:highlight w:val="none"/>
          <w:shd w:val="clear" w:color="auto" w:fill="auto"/>
        </w:rPr>
        <w:t>.1.4具有投标须知第3.</w:t>
      </w:r>
      <w:r>
        <w:rPr>
          <w:rFonts w:hint="eastAsia" w:ascii="宋体" w:hAnsi="宋体" w:eastAsia="宋体" w:cs="Times New Roman"/>
          <w:b/>
          <w:bCs/>
          <w:color w:val="auto"/>
          <w:sz w:val="24"/>
          <w:highlight w:val="none"/>
          <w:shd w:val="clear" w:color="auto" w:fill="auto"/>
          <w:lang w:val="en-US" w:eastAsia="zh-CN"/>
        </w:rPr>
        <w:t>9</w:t>
      </w:r>
      <w:r>
        <w:rPr>
          <w:rFonts w:hint="eastAsia" w:ascii="宋体" w:hAnsi="宋体" w:eastAsia="宋体" w:cs="Times New Roman"/>
          <w:b/>
          <w:bCs/>
          <w:color w:val="auto"/>
          <w:sz w:val="24"/>
          <w:highlight w:val="none"/>
          <w:shd w:val="clear" w:color="auto" w:fill="auto"/>
        </w:rPr>
        <w:t>条情形之一的。</w:t>
      </w:r>
    </w:p>
    <w:p w14:paraId="31F66AC1">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color w:val="auto"/>
          <w:sz w:val="24"/>
          <w:highlight w:val="none"/>
          <w:shd w:val="clear" w:color="auto" w:fill="auto"/>
        </w:rPr>
        <w:t>22</w:t>
      </w:r>
      <w:r>
        <w:rPr>
          <w:rFonts w:hint="eastAsia" w:ascii="宋体" w:hAnsi="宋体" w:eastAsia="宋体" w:cs="Times New Roman"/>
          <w:b/>
          <w:bCs/>
          <w:color w:val="auto"/>
          <w:sz w:val="24"/>
          <w:highlight w:val="none"/>
          <w:shd w:val="clear" w:color="auto" w:fill="auto"/>
        </w:rPr>
        <w:t>.1.5</w:t>
      </w:r>
      <w:r>
        <w:rPr>
          <w:rFonts w:hint="eastAsia" w:ascii="宋体" w:hAnsi="宋体" w:eastAsia="宋体" w:cs="Times New Roman"/>
          <w:b/>
          <w:color w:val="auto"/>
          <w:sz w:val="24"/>
          <w:highlight w:val="none"/>
          <w:shd w:val="clear" w:color="auto" w:fill="auto"/>
        </w:rPr>
        <w:t>投标人拟派出项负责人不满足招标文件要求的；</w:t>
      </w:r>
    </w:p>
    <w:p w14:paraId="64D84AD4">
      <w:pPr>
        <w:wordWrap w:val="0"/>
        <w:spacing w:line="440" w:lineRule="exact"/>
        <w:ind w:firstLine="482" w:firstLineChars="200"/>
        <w:jc w:val="left"/>
        <w:rPr>
          <w:rFonts w:hint="eastAsia" w:ascii="宋体" w:hAnsi="宋体" w:eastAsia="宋体" w:cs="Times New Roman"/>
          <w:b/>
          <w:bCs/>
          <w:color w:val="auto"/>
          <w:sz w:val="24"/>
          <w:highlight w:val="none"/>
          <w:shd w:val="clear" w:color="auto" w:fill="auto"/>
        </w:rPr>
      </w:pPr>
      <w:r>
        <w:rPr>
          <w:rFonts w:hint="eastAsia" w:ascii="宋体" w:hAnsi="宋体" w:eastAsia="宋体" w:cs="Times New Roman"/>
          <w:b/>
          <w:color w:val="auto"/>
          <w:sz w:val="24"/>
          <w:highlight w:val="none"/>
          <w:shd w:val="clear" w:color="auto" w:fill="auto"/>
        </w:rPr>
        <w:t>22</w:t>
      </w:r>
      <w:r>
        <w:rPr>
          <w:rFonts w:hint="eastAsia" w:ascii="宋体" w:hAnsi="宋体" w:eastAsia="宋体" w:cs="Times New Roman"/>
          <w:b/>
          <w:bCs/>
          <w:color w:val="auto"/>
          <w:sz w:val="24"/>
          <w:highlight w:val="none"/>
          <w:shd w:val="clear" w:color="auto" w:fill="auto"/>
        </w:rPr>
        <w:t>.1.6</w:t>
      </w:r>
      <w:r>
        <w:rPr>
          <w:rFonts w:hint="eastAsia" w:ascii="宋体" w:hAnsi="宋体" w:eastAsia="宋体" w:cs="Times New Roman"/>
          <w:b/>
          <w:bCs/>
          <w:color w:val="auto"/>
          <w:sz w:val="24"/>
          <w:highlight w:val="none"/>
          <w:shd w:val="clear" w:color="auto" w:fill="auto"/>
          <w:lang w:val="en-US" w:eastAsia="zh-CN"/>
        </w:rPr>
        <w:t>不满足招标文件其它实质性要求的</w:t>
      </w:r>
      <w:r>
        <w:rPr>
          <w:rFonts w:hint="eastAsia" w:ascii="宋体" w:hAnsi="宋体" w:eastAsia="宋体" w:cs="Times New Roman"/>
          <w:b/>
          <w:bCs/>
          <w:color w:val="auto"/>
          <w:sz w:val="24"/>
          <w:highlight w:val="none"/>
          <w:shd w:val="clear" w:color="auto" w:fill="auto"/>
        </w:rPr>
        <w:t>。</w:t>
      </w:r>
    </w:p>
    <w:p w14:paraId="6F49EE06">
      <w:pPr>
        <w:wordWrap w:val="0"/>
        <w:spacing w:line="440" w:lineRule="exact"/>
        <w:ind w:firstLine="482"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b/>
          <w:color w:val="auto"/>
          <w:sz w:val="24"/>
          <w:highlight w:val="none"/>
          <w:shd w:val="clear" w:color="auto" w:fill="auto"/>
        </w:rPr>
        <w:t>23.确定中标人</w:t>
      </w:r>
    </w:p>
    <w:p w14:paraId="5251A30F">
      <w:pPr>
        <w:tabs>
          <w:tab w:val="left" w:pos="1050"/>
        </w:tabs>
        <w:spacing w:line="440" w:lineRule="exact"/>
        <w:ind w:firstLine="480" w:firstLineChars="20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23.1从审查合格的投标人中随机抽取一家中标人。</w:t>
      </w:r>
    </w:p>
    <w:p w14:paraId="3E87D023">
      <w:pPr>
        <w:tabs>
          <w:tab w:val="left" w:pos="1050"/>
        </w:tabs>
        <w:spacing w:line="440" w:lineRule="exact"/>
        <w:ind w:firstLine="480" w:firstLineChars="200"/>
        <w:rPr>
          <w:rFonts w:hint="eastAsia" w:ascii="宋体" w:hAnsi="宋体" w:eastAsia="宋体" w:cs="Times New Roman"/>
          <w:color w:val="auto"/>
          <w:sz w:val="24"/>
          <w:highlight w:val="none"/>
          <w:shd w:val="clear" w:color="auto" w:fill="auto"/>
        </w:rPr>
      </w:pPr>
      <w:r>
        <w:rPr>
          <w:rFonts w:hint="eastAsia" w:ascii="宋体" w:hAnsi="宋体" w:eastAsia="宋体" w:cs="Times New Roman"/>
          <w:color w:val="auto"/>
          <w:sz w:val="24"/>
          <w:highlight w:val="none"/>
          <w:shd w:val="clear" w:color="auto" w:fill="auto"/>
        </w:rPr>
        <w:t>23.2 招标人或招标代理机构宣布抽取规则：</w:t>
      </w:r>
    </w:p>
    <w:p w14:paraId="7963EC1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23.2.1公开随机抽取采取三轮抽取法，第一轮抽取顺序号，第二轮抽取对应号，第三轮抽取中标单位。</w:t>
      </w:r>
    </w:p>
    <w:p w14:paraId="0083F65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23.2.2第一轮由投标人以签到（或入围）先后依次抽取顺序号。第二轮由招标人抽取对应号。第三轮由投标人抽取中标单位。</w:t>
      </w:r>
    </w:p>
    <w:p w14:paraId="404BF2C5">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23.2.3当众展示公开抽取工具，经监督人员和各投标人代表确认后，招标人或其代理机构工作人员按照进入公开随机抽取程序的投标人数额，向抽取箱内放入同等数量的号码球；</w:t>
      </w:r>
    </w:p>
    <w:p w14:paraId="40D25CE5">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23.2.4</w:t>
      </w:r>
      <w:r>
        <w:rPr>
          <w:rFonts w:hint="eastAsia" w:ascii="宋体" w:hAnsi="宋体" w:eastAsia="宋体" w:cs="Times New Roman"/>
          <w:color w:val="auto"/>
          <w:sz w:val="24"/>
          <w:highlight w:val="none"/>
          <w:shd w:val="clear" w:color="auto" w:fill="auto"/>
        </w:rPr>
        <w:t>由资格审查合格的投标人</w:t>
      </w:r>
      <w:r>
        <w:rPr>
          <w:rFonts w:hint="eastAsia" w:ascii="宋体" w:hAnsi="宋体" w:eastAsia="宋体" w:cs="宋体"/>
          <w:color w:val="auto"/>
          <w:kern w:val="0"/>
          <w:sz w:val="24"/>
          <w:highlight w:val="none"/>
          <w:shd w:val="clear" w:color="auto" w:fill="auto"/>
        </w:rPr>
        <w:t>公开随机抽取一个号码球，投标人抽取的号码即代表该投标人的号码，由招标人或其代理机构工作人员当场公布顺序号，各投标人应当众签字确认；</w:t>
      </w:r>
    </w:p>
    <w:p w14:paraId="74C5F1DB">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23.2.5将球重新放进抽取箱内，由招标人或其代理机构工作人员随机抽取，所抽的号码为对应号；</w:t>
      </w:r>
    </w:p>
    <w:p w14:paraId="1E046BDF">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23.2.6将球重新放进抽取箱内，由投标人的法人代表或其委托代理人公开随机抽取，所抽的号码与对应号相同的投标人为中标单位。</w:t>
      </w:r>
    </w:p>
    <w:p w14:paraId="6EA25026">
      <w:pPr>
        <w:wordWrap w:val="0"/>
        <w:spacing w:line="440" w:lineRule="exact"/>
        <w:ind w:firstLine="480" w:firstLineChars="200"/>
        <w:jc w:val="left"/>
        <w:rPr>
          <w:rFonts w:hint="eastAsia" w:ascii="宋体" w:hAnsi="宋体" w:eastAsia="宋体" w:cs="Times New Roman"/>
          <w:bCs/>
          <w:color w:val="auto"/>
          <w:sz w:val="24"/>
          <w:highlight w:val="none"/>
          <w:shd w:val="clear" w:color="auto" w:fill="auto"/>
        </w:rPr>
      </w:pPr>
      <w:r>
        <w:rPr>
          <w:rFonts w:hint="eastAsia" w:ascii="宋体" w:hAnsi="宋体" w:eastAsia="宋体" w:cs="Times New Roman"/>
          <w:bCs/>
          <w:color w:val="auto"/>
          <w:sz w:val="24"/>
          <w:highlight w:val="none"/>
          <w:shd w:val="clear" w:color="auto" w:fill="auto"/>
        </w:rPr>
        <w:t xml:space="preserve">23.3招标代理机构撰写开标情况报告，由招标人、招标代理机构及相关行政监督部门签字确认后存档。 </w:t>
      </w:r>
    </w:p>
    <w:p w14:paraId="52002EA0">
      <w:pPr>
        <w:wordWrap w:val="0"/>
        <w:spacing w:line="440" w:lineRule="exact"/>
        <w:ind w:firstLine="480"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bCs/>
          <w:color w:val="auto"/>
          <w:sz w:val="24"/>
          <w:highlight w:val="none"/>
          <w:shd w:val="clear" w:color="auto" w:fill="auto"/>
        </w:rPr>
        <w:t xml:space="preserve">23.4 </w:t>
      </w:r>
      <w:r>
        <w:rPr>
          <w:rFonts w:hint="eastAsia" w:ascii="宋体" w:hAnsi="宋体" w:eastAsia="宋体" w:cs="Times New Roman"/>
          <w:color w:val="auto"/>
          <w:sz w:val="24"/>
          <w:highlight w:val="none"/>
          <w:shd w:val="clear" w:color="auto" w:fill="auto"/>
        </w:rPr>
        <w:t>经过审查，合格投标人不足三家的，招标人将重新组织招标。</w:t>
      </w:r>
    </w:p>
    <w:p w14:paraId="5F39201A">
      <w:pPr>
        <w:wordWrap w:val="0"/>
        <w:spacing w:line="440" w:lineRule="exact"/>
        <w:ind w:firstLine="482"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b/>
          <w:color w:val="auto"/>
          <w:sz w:val="24"/>
          <w:highlight w:val="none"/>
          <w:shd w:val="clear" w:color="auto" w:fill="auto"/>
        </w:rPr>
        <w:t>24.中标通知和中标公示</w:t>
      </w:r>
    </w:p>
    <w:p w14:paraId="029E6D9F">
      <w:pPr>
        <w:wordWrap w:val="0"/>
        <w:spacing w:line="440" w:lineRule="exact"/>
        <w:ind w:firstLine="482"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b/>
          <w:color w:val="auto"/>
          <w:sz w:val="24"/>
          <w:highlight w:val="none"/>
          <w:shd w:val="clear" w:color="auto" w:fill="auto"/>
        </w:rPr>
        <w:t>24.1</w:t>
      </w:r>
      <w:r>
        <w:rPr>
          <w:rFonts w:hint="eastAsia" w:ascii="宋体" w:hAnsi="宋体" w:eastAsia="宋体" w:cs="Times New Roman"/>
          <w:color w:val="auto"/>
          <w:sz w:val="24"/>
          <w:highlight w:val="none"/>
          <w:shd w:val="clear" w:color="auto" w:fill="auto"/>
        </w:rPr>
        <w:t>招标人应当再评标结束后的3日内，将招标项目名称、中标人名称、中标价、项目负责人姓名(包括建造师等级和注册编号)，在</w:t>
      </w:r>
      <w:r>
        <w:rPr>
          <w:rFonts w:hint="eastAsia" w:ascii="宋体" w:hAnsi="宋体" w:eastAsia="宋体" w:cs="Times New Roman"/>
          <w:color w:val="auto"/>
          <w:sz w:val="24"/>
          <w:highlight w:val="none"/>
          <w:shd w:val="clear" w:color="auto" w:fill="auto"/>
          <w:lang w:eastAsia="zh-CN"/>
        </w:rPr>
        <w:t>新点电子交易平台-福建专区-第三方平台（https://fujian.etrading.cn/）、莆田市湄洲岛旅游建设集团有限公司网（http://www.mzdljjt.com/zh）、</w:t>
      </w:r>
      <w:r>
        <w:rPr>
          <w:rFonts w:hint="eastAsia" w:ascii="宋体" w:hAnsi="宋体" w:eastAsia="宋体" w:cs="宋体"/>
          <w:color w:val="auto"/>
          <w:sz w:val="24"/>
          <w:highlight w:val="none"/>
          <w:lang w:eastAsia="zh-CN"/>
        </w:rPr>
        <w:t>莆田市湄洲岛国家旅游度假区管委会网</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http://mzd.putian.gov.cn/</w:t>
      </w:r>
      <w:r>
        <w:rPr>
          <w:rFonts w:hint="eastAsia" w:ascii="宋体" w:hAnsi="宋体" w:eastAsia="宋体" w:cs="宋体"/>
          <w:color w:val="auto"/>
          <w:sz w:val="24"/>
          <w:highlight w:val="none"/>
        </w:rPr>
        <w:t>)</w:t>
      </w:r>
      <w:r>
        <w:rPr>
          <w:rFonts w:hint="eastAsia" w:ascii="宋体" w:hAnsi="宋体" w:eastAsia="宋体" w:cs="Times New Roman"/>
          <w:color w:val="auto"/>
          <w:sz w:val="24"/>
          <w:highlight w:val="none"/>
          <w:shd w:val="clear" w:color="auto" w:fill="auto"/>
        </w:rPr>
        <w:t>公示。</w:t>
      </w:r>
    </w:p>
    <w:p w14:paraId="62BB6504">
      <w:pPr>
        <w:wordWrap w:val="0"/>
        <w:spacing w:line="440" w:lineRule="exact"/>
        <w:ind w:firstLine="482" w:firstLineChars="200"/>
        <w:jc w:val="left"/>
        <w:rPr>
          <w:rFonts w:hint="eastAsia" w:ascii="Times New Roman" w:hAnsi="Times New Roman" w:eastAsia="宋体" w:cs="Times New Roman"/>
          <w:color w:val="auto"/>
          <w:highlight w:val="none"/>
          <w:shd w:val="clear" w:color="auto" w:fill="auto"/>
        </w:rPr>
      </w:pPr>
      <w:r>
        <w:rPr>
          <w:rFonts w:hint="eastAsia" w:ascii="宋体" w:hAnsi="宋体" w:eastAsia="宋体" w:cs="Times New Roman"/>
          <w:b/>
          <w:color w:val="auto"/>
          <w:sz w:val="24"/>
          <w:highlight w:val="none"/>
          <w:shd w:val="clear" w:color="auto" w:fill="auto"/>
        </w:rPr>
        <w:t>24.2</w:t>
      </w:r>
      <w:r>
        <w:rPr>
          <w:rFonts w:hint="eastAsia" w:ascii="宋体" w:hAnsi="宋体" w:eastAsia="宋体" w:cs="Times New Roman"/>
          <w:color w:val="auto"/>
          <w:sz w:val="24"/>
          <w:highlight w:val="none"/>
          <w:shd w:val="clear" w:color="auto" w:fill="auto"/>
        </w:rPr>
        <w:t>在中标公示</w:t>
      </w:r>
      <w:r>
        <w:rPr>
          <w:rFonts w:hint="eastAsia" w:ascii="宋体" w:hAnsi="宋体" w:eastAsia="宋体" w:cs="Times New Roman"/>
          <w:color w:val="auto"/>
          <w:sz w:val="24"/>
          <w:highlight w:val="none"/>
          <w:shd w:val="clear" w:color="auto" w:fill="auto"/>
          <w:lang w:val="en-US" w:eastAsia="zh-CN"/>
        </w:rPr>
        <w:t>结束并未接到投诉</w:t>
      </w:r>
      <w:r>
        <w:rPr>
          <w:rFonts w:hint="eastAsia" w:ascii="宋体" w:hAnsi="宋体" w:eastAsia="宋体" w:cs="Times New Roman"/>
          <w:color w:val="auto"/>
          <w:sz w:val="24"/>
          <w:highlight w:val="none"/>
          <w:shd w:val="clear" w:color="auto" w:fill="auto"/>
        </w:rPr>
        <w:t>后5日内，招标人应根据评标结果向中标人发放中标通知书。</w:t>
      </w:r>
    </w:p>
    <w:p w14:paraId="267872A5">
      <w:pPr>
        <w:wordWrap w:val="0"/>
        <w:spacing w:line="440" w:lineRule="exact"/>
        <w:ind w:firstLine="482" w:firstLineChars="200"/>
        <w:jc w:val="left"/>
        <w:rPr>
          <w:rFonts w:hint="eastAsia" w:ascii="宋体" w:hAnsi="宋体" w:eastAsia="宋体" w:cs="Times New Roman"/>
          <w:b/>
          <w:color w:val="auto"/>
          <w:sz w:val="24"/>
          <w:highlight w:val="none"/>
          <w:shd w:val="clear" w:color="auto" w:fill="auto"/>
        </w:rPr>
      </w:pPr>
      <w:r>
        <w:rPr>
          <w:rFonts w:hint="eastAsia" w:ascii="宋体" w:hAnsi="宋体" w:eastAsia="宋体" w:cs="Times New Roman"/>
          <w:b/>
          <w:color w:val="auto"/>
          <w:sz w:val="24"/>
          <w:highlight w:val="none"/>
          <w:shd w:val="clear" w:color="auto" w:fill="auto"/>
        </w:rPr>
        <w:t>25.附则</w:t>
      </w:r>
    </w:p>
    <w:p w14:paraId="5BC01367">
      <w:pPr>
        <w:wordWrap w:val="0"/>
        <w:spacing w:line="440" w:lineRule="exact"/>
        <w:ind w:firstLine="482" w:firstLineChars="200"/>
        <w:jc w:val="left"/>
        <w:rPr>
          <w:rFonts w:hint="eastAsia" w:ascii="宋体" w:hAnsi="宋体" w:eastAsia="宋体" w:cs="Times New Roman"/>
          <w:color w:val="auto"/>
          <w:sz w:val="24"/>
          <w:highlight w:val="none"/>
          <w:shd w:val="clear" w:color="auto" w:fill="auto"/>
        </w:rPr>
      </w:pPr>
      <w:r>
        <w:rPr>
          <w:rFonts w:hint="eastAsia" w:ascii="宋体" w:hAnsi="宋体" w:eastAsia="宋体" w:cs="Times New Roman"/>
          <w:b/>
          <w:color w:val="auto"/>
          <w:sz w:val="24"/>
          <w:highlight w:val="none"/>
          <w:shd w:val="clear" w:color="auto" w:fill="auto"/>
        </w:rPr>
        <w:t>25.1</w:t>
      </w:r>
      <w:r>
        <w:rPr>
          <w:rFonts w:hint="eastAsia" w:ascii="宋体" w:hAnsi="宋体" w:eastAsia="宋体" w:cs="Times New Roman"/>
          <w:color w:val="auto"/>
          <w:sz w:val="24"/>
          <w:highlight w:val="none"/>
          <w:shd w:val="clear" w:color="auto" w:fill="auto"/>
        </w:rPr>
        <w:t>在评标定标过程中，投标人自己认为须准备好与投标有关的证书、证明资料原件备查的，可以在招标人要求提交时当场提交，投标人不能当场提交的，资格审查小组可以作出不利于投标人的认定。</w:t>
      </w:r>
    </w:p>
    <w:p w14:paraId="28B7E023">
      <w:pPr>
        <w:wordWrap w:val="0"/>
        <w:spacing w:line="440" w:lineRule="exact"/>
        <w:ind w:firstLine="482" w:firstLineChars="200"/>
        <w:jc w:val="left"/>
        <w:rPr>
          <w:rFonts w:hint="eastAsia" w:ascii="宋体" w:hAnsi="宋体" w:eastAsia="宋体" w:cs="Times New Roman"/>
          <w:b/>
          <w:color w:val="auto"/>
          <w:sz w:val="30"/>
          <w:szCs w:val="30"/>
          <w:highlight w:val="none"/>
          <w:shd w:val="clear" w:color="auto" w:fill="auto"/>
        </w:rPr>
      </w:pPr>
      <w:r>
        <w:rPr>
          <w:rFonts w:hint="eastAsia" w:ascii="宋体" w:hAnsi="宋体" w:eastAsia="宋体" w:cs="Times New Roman"/>
          <w:b/>
          <w:color w:val="auto"/>
          <w:sz w:val="24"/>
          <w:highlight w:val="none"/>
          <w:shd w:val="clear" w:color="auto" w:fill="auto"/>
        </w:rPr>
        <w:t>25.2</w:t>
      </w:r>
      <w:r>
        <w:rPr>
          <w:rFonts w:hint="eastAsia" w:ascii="宋体" w:hAnsi="宋体" w:eastAsia="宋体" w:cs="Times New Roman"/>
          <w:color w:val="auto"/>
          <w:sz w:val="24"/>
          <w:highlight w:val="none"/>
          <w:shd w:val="clear" w:color="auto" w:fill="auto"/>
        </w:rPr>
        <w:t>在评标过程中，资格审查小组要求投标人作出澄清的，投标人的法定代表人或其委托代理人或项目负责人须在一个小时内到达评标地点，向资格审查小组作出书面澄清。投标人未能按上述规定作出书面澄清的，则资格审查小组可以按不利于投标人的情形认定。</w:t>
      </w:r>
    </w:p>
    <w:p w14:paraId="59554977">
      <w:pPr>
        <w:widowControl/>
        <w:snapToGrid w:val="0"/>
        <w:spacing w:line="440" w:lineRule="exact"/>
        <w:ind w:firstLine="480" w:firstLineChars="200"/>
        <w:jc w:val="left"/>
        <w:rPr>
          <w:rFonts w:hint="eastAsia" w:ascii="宋体" w:hAnsi="宋体" w:eastAsia="宋体" w:cs="宋体"/>
          <w:color w:val="auto"/>
          <w:sz w:val="24"/>
          <w:highlight w:val="none"/>
        </w:rPr>
      </w:pPr>
    </w:p>
    <w:p w14:paraId="7F17876E">
      <w:pPr>
        <w:widowControl/>
        <w:snapToGrid w:val="0"/>
        <w:spacing w:line="440" w:lineRule="exact"/>
        <w:ind w:firstLine="480" w:firstLineChars="200"/>
        <w:jc w:val="left"/>
        <w:rPr>
          <w:rFonts w:hint="eastAsia" w:ascii="宋体" w:hAnsi="宋体" w:eastAsia="宋体" w:cs="宋体"/>
          <w:color w:val="auto"/>
          <w:sz w:val="24"/>
          <w:highlight w:val="none"/>
        </w:rPr>
      </w:pPr>
    </w:p>
    <w:p w14:paraId="1245588E">
      <w:pPr>
        <w:widowControl/>
        <w:snapToGrid w:val="0"/>
        <w:spacing w:line="440" w:lineRule="exact"/>
        <w:ind w:firstLine="480" w:firstLineChars="200"/>
        <w:jc w:val="left"/>
        <w:rPr>
          <w:rFonts w:hint="eastAsia" w:ascii="宋体" w:hAnsi="宋体" w:eastAsia="宋体" w:cs="宋体"/>
          <w:color w:val="auto"/>
          <w:sz w:val="24"/>
          <w:highlight w:val="none"/>
        </w:rPr>
      </w:pPr>
    </w:p>
    <w:p w14:paraId="11CFA6EA">
      <w:pPr>
        <w:widowControl/>
        <w:snapToGrid w:val="0"/>
        <w:spacing w:line="440" w:lineRule="exact"/>
        <w:ind w:firstLine="480" w:firstLineChars="200"/>
        <w:jc w:val="left"/>
        <w:rPr>
          <w:rFonts w:hint="eastAsia" w:ascii="宋体" w:hAnsi="宋体" w:eastAsia="宋体" w:cs="宋体"/>
          <w:color w:val="auto"/>
          <w:sz w:val="24"/>
          <w:highlight w:val="none"/>
        </w:rPr>
      </w:pPr>
    </w:p>
    <w:p w14:paraId="20874D05">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F479FF7">
      <w:pPr>
        <w:widowControl/>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附表1：</w:t>
      </w:r>
    </w:p>
    <w:p w14:paraId="37F59738">
      <w:pPr>
        <w:spacing w:line="600" w:lineRule="exact"/>
        <w:jc w:val="center"/>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项目管理人员配备标准</w:t>
      </w:r>
    </w:p>
    <w:tbl>
      <w:tblPr>
        <w:tblStyle w:val="17"/>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29"/>
        <w:gridCol w:w="640"/>
        <w:gridCol w:w="1678"/>
        <w:gridCol w:w="1412"/>
        <w:gridCol w:w="4195"/>
        <w:gridCol w:w="705"/>
      </w:tblGrid>
      <w:tr w14:paraId="11EE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3" w:hRule="atLeast"/>
          <w:jc w:val="center"/>
        </w:trPr>
        <w:tc>
          <w:tcPr>
            <w:tcW w:w="1169" w:type="dxa"/>
            <w:gridSpan w:val="2"/>
            <w:tcBorders>
              <w:top w:val="single" w:color="auto" w:sz="4" w:space="0"/>
              <w:left w:val="single" w:color="auto" w:sz="4" w:space="0"/>
              <w:bottom w:val="single" w:color="auto" w:sz="4" w:space="0"/>
              <w:right w:val="single" w:color="auto" w:sz="4" w:space="0"/>
            </w:tcBorders>
            <w:noWrap w:val="0"/>
            <w:vAlign w:val="center"/>
          </w:tcPr>
          <w:p w14:paraId="1E88188F">
            <w:pPr>
              <w:spacing w:line="240"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项目内容</w:t>
            </w:r>
          </w:p>
        </w:tc>
        <w:tc>
          <w:tcPr>
            <w:tcW w:w="7990" w:type="dxa"/>
            <w:gridSpan w:val="4"/>
            <w:tcBorders>
              <w:top w:val="single" w:color="auto" w:sz="4" w:space="0"/>
              <w:left w:val="nil"/>
              <w:bottom w:val="single" w:color="auto" w:sz="4" w:space="0"/>
              <w:right w:val="single" w:color="auto" w:sz="4" w:space="0"/>
            </w:tcBorders>
            <w:noWrap w:val="0"/>
            <w:vAlign w:val="center"/>
          </w:tcPr>
          <w:p w14:paraId="4A2DFB64">
            <w:pPr>
              <w:spacing w:line="240"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配    备    标     准</w:t>
            </w:r>
          </w:p>
        </w:tc>
      </w:tr>
      <w:tr w14:paraId="05F9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868" w:hRule="atLeast"/>
          <w:jc w:val="center"/>
        </w:trPr>
        <w:tc>
          <w:tcPr>
            <w:tcW w:w="529" w:type="dxa"/>
            <w:vMerge w:val="restart"/>
            <w:tcBorders>
              <w:top w:val="nil"/>
              <w:left w:val="single" w:color="auto" w:sz="4" w:space="0"/>
              <w:bottom w:val="single" w:color="auto" w:sz="4" w:space="0"/>
              <w:right w:val="single" w:color="auto" w:sz="4" w:space="0"/>
            </w:tcBorders>
            <w:noWrap w:val="0"/>
            <w:vAlign w:val="center"/>
          </w:tcPr>
          <w:p w14:paraId="0427B2D6">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项</w:t>
            </w:r>
          </w:p>
          <w:p w14:paraId="36541ED4">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目</w:t>
            </w:r>
          </w:p>
          <w:p w14:paraId="57C4C498">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管</w:t>
            </w:r>
          </w:p>
          <w:p w14:paraId="3895FF55">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理</w:t>
            </w:r>
          </w:p>
          <w:p w14:paraId="0D788BD7">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班</w:t>
            </w:r>
          </w:p>
          <w:p w14:paraId="6C175CCF">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子</w:t>
            </w:r>
          </w:p>
          <w:p w14:paraId="3566A19B">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配</w:t>
            </w:r>
          </w:p>
          <w:p w14:paraId="432DA8F0">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备</w:t>
            </w:r>
          </w:p>
        </w:tc>
        <w:tc>
          <w:tcPr>
            <w:tcW w:w="640" w:type="dxa"/>
            <w:tcBorders>
              <w:top w:val="single" w:color="auto" w:sz="4" w:space="0"/>
              <w:left w:val="nil"/>
              <w:bottom w:val="single" w:color="auto" w:sz="4" w:space="0"/>
              <w:right w:val="single" w:color="auto" w:sz="4" w:space="0"/>
            </w:tcBorders>
            <w:noWrap w:val="0"/>
            <w:vAlign w:val="center"/>
          </w:tcPr>
          <w:p w14:paraId="4B33D7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项</w:t>
            </w:r>
          </w:p>
          <w:p w14:paraId="6D43C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目</w:t>
            </w:r>
          </w:p>
          <w:p w14:paraId="09594B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经</w:t>
            </w:r>
          </w:p>
          <w:p w14:paraId="4248FF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highlight w:val="none"/>
              </w:rPr>
            </w:pPr>
            <w:r>
              <w:rPr>
                <w:rFonts w:hint="eastAsia" w:ascii="宋体" w:hAnsi="宋体" w:eastAsia="宋体" w:cs="Times New Roman"/>
                <w:color w:val="auto"/>
                <w:highlight w:val="none"/>
              </w:rPr>
              <w:t>理</w:t>
            </w:r>
          </w:p>
        </w:tc>
        <w:tc>
          <w:tcPr>
            <w:tcW w:w="7990" w:type="dxa"/>
            <w:gridSpan w:val="4"/>
            <w:tcBorders>
              <w:top w:val="single" w:color="auto" w:sz="4" w:space="0"/>
              <w:left w:val="nil"/>
              <w:bottom w:val="single" w:color="auto" w:sz="4" w:space="0"/>
              <w:right w:val="single" w:color="auto" w:sz="4" w:space="0"/>
            </w:tcBorders>
            <w:noWrap w:val="0"/>
            <w:vAlign w:val="center"/>
          </w:tcPr>
          <w:p w14:paraId="4DFAF4AC">
            <w:pPr>
              <w:spacing w:line="300" w:lineRule="exact"/>
              <w:ind w:firstLine="420" w:firstLineChars="200"/>
              <w:jc w:val="left"/>
              <w:rPr>
                <w:rFonts w:hint="eastAsia" w:ascii="宋体" w:hAnsi="宋体" w:eastAsia="宋体" w:cs="Times New Roman"/>
                <w:color w:val="auto"/>
                <w:highlight w:val="none"/>
              </w:rPr>
            </w:pPr>
            <w:r>
              <w:rPr>
                <w:rFonts w:hint="eastAsia" w:ascii="宋体" w:hAnsi="宋体" w:eastAsia="宋体" w:cs="仿宋_GB2312"/>
                <w:color w:val="auto"/>
                <w:szCs w:val="21"/>
                <w:highlight w:val="none"/>
              </w:rPr>
              <w:t>项目经理应持有不低于</w:t>
            </w:r>
            <w:r>
              <w:rPr>
                <w:rFonts w:hint="eastAsia" w:ascii="宋体" w:hAnsi="宋体" w:eastAsia="宋体" w:cs="仿宋_GB2312"/>
                <w:color w:val="auto"/>
                <w:szCs w:val="21"/>
                <w:highlight w:val="none"/>
                <w:u w:val="single"/>
              </w:rPr>
              <w:t xml:space="preserve"> </w:t>
            </w:r>
            <w:r>
              <w:rPr>
                <w:rFonts w:hint="eastAsia" w:ascii="宋体" w:hAnsi="宋体" w:cs="仿宋_GB2312"/>
                <w:i w:val="0"/>
                <w:iCs/>
                <w:color w:val="auto"/>
                <w:szCs w:val="21"/>
                <w:highlight w:val="none"/>
                <w:u w:val="single"/>
                <w:lang w:val="en-US" w:eastAsia="zh-CN"/>
              </w:rPr>
              <w:t>二</w:t>
            </w:r>
            <w:r>
              <w:rPr>
                <w:rFonts w:hint="eastAsia" w:ascii="宋体" w:hAnsi="宋体" w:cs="仿宋_GB2312"/>
                <w:i/>
                <w:color w:val="auto"/>
                <w:szCs w:val="21"/>
                <w:highlight w:val="none"/>
                <w:u w:val="single"/>
                <w:lang w:val="en-US" w:eastAsia="zh-CN"/>
              </w:rPr>
              <w:t xml:space="preserve">   </w:t>
            </w:r>
            <w:r>
              <w:rPr>
                <w:rFonts w:hint="eastAsia" w:ascii="宋体" w:hAnsi="宋体" w:eastAsia="宋体" w:cs="仿宋_GB2312"/>
                <w:color w:val="auto"/>
                <w:szCs w:val="21"/>
                <w:highlight w:val="none"/>
              </w:rPr>
              <w:t>级</w:t>
            </w:r>
            <w:r>
              <w:rPr>
                <w:rFonts w:hint="eastAsia" w:ascii="宋体" w:hAnsi="宋体" w:eastAsia="宋体" w:cs="仿宋_GB2312"/>
                <w:color w:val="auto"/>
                <w:szCs w:val="21"/>
                <w:highlight w:val="none"/>
                <w:u w:val="single"/>
              </w:rPr>
              <w:t xml:space="preserve"> 水利水电  </w:t>
            </w:r>
            <w:r>
              <w:rPr>
                <w:rFonts w:hint="eastAsia" w:ascii="宋体" w:hAnsi="宋体" w:eastAsia="宋体" w:cs="仿宋_GB2312"/>
                <w:color w:val="auto"/>
                <w:szCs w:val="21"/>
                <w:highlight w:val="none"/>
              </w:rPr>
              <w:t>(专业)建造师注册证书且通过年审有效，并持有水行政主管部门颁发有效的安全生产考核合格证书(B证)。项目经理必须是投标人的在职职工（所属单位以注册执业证书或职称证书上的工作单位为准，证书上未体现工作单位的须提供相关人员近三个月社保缴费证明；专业以注册执业证书或职称证书上的评审委员会专业为准，若未能在上述任一证书上体现专业的，按资格不合格处理）。</w:t>
            </w:r>
          </w:p>
        </w:tc>
      </w:tr>
      <w:tr w14:paraId="0567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5" w:hRule="atLeast"/>
          <w:jc w:val="center"/>
        </w:trPr>
        <w:tc>
          <w:tcPr>
            <w:tcW w:w="529" w:type="dxa"/>
            <w:vMerge w:val="continue"/>
            <w:tcBorders>
              <w:top w:val="nil"/>
              <w:left w:val="single" w:color="auto" w:sz="4" w:space="0"/>
              <w:bottom w:val="single" w:color="auto" w:sz="4" w:space="0"/>
              <w:right w:val="single" w:color="auto" w:sz="4" w:space="0"/>
            </w:tcBorders>
            <w:noWrap w:val="0"/>
            <w:vAlign w:val="center"/>
          </w:tcPr>
          <w:p w14:paraId="329B44D8">
            <w:pPr>
              <w:spacing w:line="600" w:lineRule="exact"/>
              <w:jc w:val="center"/>
              <w:rPr>
                <w:rFonts w:hint="eastAsia" w:ascii="宋体" w:hAnsi="宋体" w:eastAsia="宋体" w:cs="Times New Roman"/>
                <w:color w:val="auto"/>
                <w:highlight w:val="none"/>
              </w:rPr>
            </w:pPr>
          </w:p>
        </w:tc>
        <w:tc>
          <w:tcPr>
            <w:tcW w:w="640" w:type="dxa"/>
            <w:vMerge w:val="restart"/>
            <w:tcBorders>
              <w:top w:val="nil"/>
              <w:left w:val="nil"/>
              <w:bottom w:val="single" w:color="auto" w:sz="4" w:space="0"/>
              <w:right w:val="single" w:color="auto" w:sz="4" w:space="0"/>
            </w:tcBorders>
            <w:noWrap w:val="0"/>
            <w:vAlign w:val="center"/>
          </w:tcPr>
          <w:p w14:paraId="3C01BD5A">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其</w:t>
            </w:r>
          </w:p>
          <w:p w14:paraId="3B0F7DBF">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他</w:t>
            </w:r>
          </w:p>
          <w:p w14:paraId="14183366">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人</w:t>
            </w:r>
          </w:p>
          <w:p w14:paraId="085C829A">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员</w:t>
            </w:r>
          </w:p>
        </w:tc>
        <w:tc>
          <w:tcPr>
            <w:tcW w:w="7990" w:type="dxa"/>
            <w:gridSpan w:val="4"/>
            <w:tcBorders>
              <w:top w:val="single" w:color="auto" w:sz="4" w:space="0"/>
              <w:left w:val="nil"/>
              <w:bottom w:val="single" w:color="auto" w:sz="4" w:space="0"/>
              <w:right w:val="single" w:color="auto" w:sz="4" w:space="0"/>
            </w:tcBorders>
            <w:noWrap w:val="0"/>
            <w:vAlign w:val="center"/>
          </w:tcPr>
          <w:p w14:paraId="1F3AE364">
            <w:pPr>
              <w:spacing w:line="240" w:lineRule="auto"/>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其它人员配备至少应达到下列要求：</w:t>
            </w:r>
          </w:p>
        </w:tc>
      </w:tr>
      <w:tr w14:paraId="739E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0" w:hRule="atLeast"/>
          <w:jc w:val="center"/>
        </w:trPr>
        <w:tc>
          <w:tcPr>
            <w:tcW w:w="529" w:type="dxa"/>
            <w:vMerge w:val="continue"/>
            <w:tcBorders>
              <w:top w:val="nil"/>
              <w:left w:val="single" w:color="auto" w:sz="4" w:space="0"/>
              <w:bottom w:val="single" w:color="auto" w:sz="4" w:space="0"/>
              <w:right w:val="single" w:color="auto" w:sz="4" w:space="0"/>
            </w:tcBorders>
            <w:noWrap w:val="0"/>
            <w:vAlign w:val="center"/>
          </w:tcPr>
          <w:p w14:paraId="1A561752">
            <w:pPr>
              <w:spacing w:line="600" w:lineRule="exact"/>
              <w:jc w:val="center"/>
              <w:rPr>
                <w:rFonts w:hint="eastAsia" w:ascii="宋体" w:hAnsi="宋体" w:eastAsia="宋体" w:cs="Times New Roman"/>
                <w:color w:val="auto"/>
                <w:highlight w:val="none"/>
              </w:rPr>
            </w:pPr>
          </w:p>
        </w:tc>
        <w:tc>
          <w:tcPr>
            <w:tcW w:w="640" w:type="dxa"/>
            <w:vMerge w:val="continue"/>
            <w:tcBorders>
              <w:top w:val="nil"/>
              <w:left w:val="nil"/>
              <w:bottom w:val="single" w:color="auto" w:sz="4" w:space="0"/>
              <w:right w:val="single" w:color="auto" w:sz="4" w:space="0"/>
            </w:tcBorders>
            <w:noWrap w:val="0"/>
            <w:vAlign w:val="center"/>
          </w:tcPr>
          <w:p w14:paraId="2E16EA13">
            <w:pPr>
              <w:spacing w:line="600" w:lineRule="exact"/>
              <w:jc w:val="center"/>
              <w:rPr>
                <w:rFonts w:hint="eastAsia" w:ascii="宋体" w:hAnsi="宋体" w:eastAsia="宋体" w:cs="Times New Roman"/>
                <w:color w:val="auto"/>
                <w:highlight w:val="none"/>
              </w:rPr>
            </w:pPr>
          </w:p>
        </w:tc>
        <w:tc>
          <w:tcPr>
            <w:tcW w:w="1678" w:type="dxa"/>
            <w:tcBorders>
              <w:top w:val="single" w:color="auto" w:sz="4" w:space="0"/>
              <w:left w:val="nil"/>
              <w:bottom w:val="single" w:color="auto" w:sz="4" w:space="0"/>
              <w:right w:val="single" w:color="auto" w:sz="4" w:space="0"/>
            </w:tcBorders>
            <w:noWrap w:val="0"/>
            <w:vAlign w:val="center"/>
          </w:tcPr>
          <w:p w14:paraId="25A441BB">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职  位</w:t>
            </w:r>
          </w:p>
        </w:tc>
        <w:tc>
          <w:tcPr>
            <w:tcW w:w="1412" w:type="dxa"/>
            <w:tcBorders>
              <w:top w:val="single" w:color="auto" w:sz="4" w:space="0"/>
              <w:left w:val="nil"/>
              <w:bottom w:val="single" w:color="auto" w:sz="4" w:space="0"/>
              <w:right w:val="single" w:color="auto" w:sz="4" w:space="0"/>
            </w:tcBorders>
            <w:noWrap w:val="0"/>
            <w:vAlign w:val="center"/>
          </w:tcPr>
          <w:p w14:paraId="2220604D">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最低数量</w:t>
            </w:r>
          </w:p>
          <w:p w14:paraId="6F3E42F1">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要求(人)</w:t>
            </w:r>
          </w:p>
        </w:tc>
        <w:tc>
          <w:tcPr>
            <w:tcW w:w="4195" w:type="dxa"/>
            <w:tcBorders>
              <w:top w:val="single" w:color="auto" w:sz="4" w:space="0"/>
              <w:left w:val="nil"/>
              <w:bottom w:val="single" w:color="auto" w:sz="4" w:space="0"/>
              <w:right w:val="single" w:color="auto" w:sz="4" w:space="0"/>
            </w:tcBorders>
            <w:noWrap w:val="0"/>
            <w:vAlign w:val="center"/>
          </w:tcPr>
          <w:p w14:paraId="64C6327B">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职称、岗位资格要求</w:t>
            </w:r>
          </w:p>
        </w:tc>
        <w:tc>
          <w:tcPr>
            <w:tcW w:w="705" w:type="dxa"/>
            <w:tcBorders>
              <w:top w:val="single" w:color="auto" w:sz="4" w:space="0"/>
              <w:left w:val="nil"/>
              <w:bottom w:val="single" w:color="auto" w:sz="4" w:space="0"/>
              <w:right w:val="single" w:color="auto" w:sz="4" w:space="0"/>
            </w:tcBorders>
            <w:noWrap w:val="0"/>
            <w:vAlign w:val="center"/>
          </w:tcPr>
          <w:p w14:paraId="1F7E0FDB">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备注</w:t>
            </w:r>
          </w:p>
        </w:tc>
      </w:tr>
      <w:tr w14:paraId="2010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0" w:hRule="atLeast"/>
          <w:jc w:val="center"/>
        </w:trPr>
        <w:tc>
          <w:tcPr>
            <w:tcW w:w="529" w:type="dxa"/>
            <w:vMerge w:val="continue"/>
            <w:tcBorders>
              <w:top w:val="nil"/>
              <w:left w:val="single" w:color="auto" w:sz="4" w:space="0"/>
              <w:bottom w:val="single" w:color="auto" w:sz="4" w:space="0"/>
              <w:right w:val="single" w:color="auto" w:sz="4" w:space="0"/>
            </w:tcBorders>
            <w:noWrap w:val="0"/>
            <w:vAlign w:val="center"/>
          </w:tcPr>
          <w:p w14:paraId="1A5F5CE0">
            <w:pPr>
              <w:spacing w:line="600" w:lineRule="exact"/>
              <w:jc w:val="center"/>
              <w:rPr>
                <w:rFonts w:hint="eastAsia" w:ascii="宋体" w:hAnsi="宋体" w:eastAsia="宋体" w:cs="Times New Roman"/>
                <w:color w:val="auto"/>
                <w:highlight w:val="none"/>
              </w:rPr>
            </w:pPr>
          </w:p>
        </w:tc>
        <w:tc>
          <w:tcPr>
            <w:tcW w:w="640" w:type="dxa"/>
            <w:vMerge w:val="continue"/>
            <w:tcBorders>
              <w:top w:val="nil"/>
              <w:left w:val="nil"/>
              <w:bottom w:val="single" w:color="auto" w:sz="4" w:space="0"/>
              <w:right w:val="single" w:color="auto" w:sz="4" w:space="0"/>
            </w:tcBorders>
            <w:noWrap w:val="0"/>
            <w:vAlign w:val="center"/>
          </w:tcPr>
          <w:p w14:paraId="62FDB833">
            <w:pPr>
              <w:spacing w:line="600" w:lineRule="exact"/>
              <w:jc w:val="center"/>
              <w:rPr>
                <w:rFonts w:hint="eastAsia" w:ascii="宋体" w:hAnsi="宋体" w:eastAsia="宋体" w:cs="Times New Roman"/>
                <w:color w:val="auto"/>
                <w:highlight w:val="none"/>
              </w:rPr>
            </w:pPr>
          </w:p>
        </w:tc>
        <w:tc>
          <w:tcPr>
            <w:tcW w:w="1678" w:type="dxa"/>
            <w:tcBorders>
              <w:top w:val="single" w:color="auto" w:sz="4" w:space="0"/>
              <w:left w:val="nil"/>
              <w:bottom w:val="single" w:color="auto" w:sz="4" w:space="0"/>
              <w:right w:val="single" w:color="auto" w:sz="4" w:space="0"/>
            </w:tcBorders>
            <w:noWrap w:val="0"/>
            <w:vAlign w:val="center"/>
          </w:tcPr>
          <w:p w14:paraId="23C97CFD">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项目技术负责人</w:t>
            </w:r>
          </w:p>
        </w:tc>
        <w:tc>
          <w:tcPr>
            <w:tcW w:w="1412" w:type="dxa"/>
            <w:tcBorders>
              <w:top w:val="single" w:color="auto" w:sz="4" w:space="0"/>
              <w:left w:val="nil"/>
              <w:bottom w:val="single" w:color="auto" w:sz="4" w:space="0"/>
              <w:right w:val="single" w:color="auto" w:sz="4" w:space="0"/>
            </w:tcBorders>
            <w:noWrap w:val="0"/>
            <w:vAlign w:val="center"/>
          </w:tcPr>
          <w:p w14:paraId="6AD071BD">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1</w:t>
            </w:r>
          </w:p>
        </w:tc>
        <w:tc>
          <w:tcPr>
            <w:tcW w:w="4195" w:type="dxa"/>
            <w:tcBorders>
              <w:top w:val="single" w:color="auto" w:sz="4" w:space="0"/>
              <w:left w:val="nil"/>
              <w:bottom w:val="single" w:color="auto" w:sz="4" w:space="0"/>
              <w:right w:val="single" w:color="auto" w:sz="4" w:space="0"/>
            </w:tcBorders>
            <w:noWrap w:val="0"/>
            <w:vAlign w:val="center"/>
          </w:tcPr>
          <w:p w14:paraId="07FE1F56">
            <w:pPr>
              <w:spacing w:line="320" w:lineRule="exact"/>
              <w:jc w:val="left"/>
              <w:rPr>
                <w:rFonts w:hint="eastAsia" w:ascii="宋体" w:hAnsi="宋体" w:eastAsia="宋体" w:cs="Times New Roman"/>
                <w:color w:val="auto"/>
                <w:highlight w:val="none"/>
              </w:rPr>
            </w:pPr>
            <w:r>
              <w:rPr>
                <w:rFonts w:hint="eastAsia" w:ascii="宋体" w:hAnsi="宋体" w:eastAsia="宋体" w:cs="Times New Roman"/>
                <w:color w:val="auto"/>
                <w:szCs w:val="21"/>
                <w:highlight w:val="none"/>
              </w:rPr>
              <w:t>具备水利水电专业中级及以上职称</w:t>
            </w:r>
          </w:p>
        </w:tc>
        <w:tc>
          <w:tcPr>
            <w:tcW w:w="705" w:type="dxa"/>
            <w:tcBorders>
              <w:top w:val="single" w:color="auto" w:sz="4" w:space="0"/>
              <w:left w:val="nil"/>
              <w:bottom w:val="single" w:color="auto" w:sz="4" w:space="0"/>
              <w:right w:val="single" w:color="auto" w:sz="4" w:space="0"/>
            </w:tcBorders>
            <w:noWrap w:val="0"/>
            <w:vAlign w:val="center"/>
          </w:tcPr>
          <w:p w14:paraId="1A5B6551">
            <w:pPr>
              <w:spacing w:line="600" w:lineRule="exact"/>
              <w:jc w:val="center"/>
              <w:rPr>
                <w:rFonts w:hint="eastAsia" w:ascii="宋体" w:hAnsi="宋体" w:eastAsia="宋体" w:cs="Times New Roman"/>
                <w:color w:val="auto"/>
                <w:highlight w:val="none"/>
              </w:rPr>
            </w:pPr>
          </w:p>
        </w:tc>
      </w:tr>
      <w:tr w14:paraId="383D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6" w:hRule="atLeast"/>
          <w:jc w:val="center"/>
        </w:trPr>
        <w:tc>
          <w:tcPr>
            <w:tcW w:w="529" w:type="dxa"/>
            <w:vMerge w:val="continue"/>
            <w:tcBorders>
              <w:top w:val="nil"/>
              <w:left w:val="single" w:color="auto" w:sz="4" w:space="0"/>
              <w:bottom w:val="single" w:color="auto" w:sz="4" w:space="0"/>
              <w:right w:val="single" w:color="auto" w:sz="4" w:space="0"/>
            </w:tcBorders>
            <w:noWrap w:val="0"/>
            <w:vAlign w:val="center"/>
          </w:tcPr>
          <w:p w14:paraId="44ED3530">
            <w:pPr>
              <w:spacing w:line="600" w:lineRule="exact"/>
              <w:jc w:val="center"/>
              <w:rPr>
                <w:rFonts w:hint="eastAsia" w:ascii="宋体" w:hAnsi="宋体" w:eastAsia="宋体" w:cs="Times New Roman"/>
                <w:color w:val="auto"/>
                <w:highlight w:val="none"/>
              </w:rPr>
            </w:pPr>
          </w:p>
        </w:tc>
        <w:tc>
          <w:tcPr>
            <w:tcW w:w="640" w:type="dxa"/>
            <w:vMerge w:val="continue"/>
            <w:tcBorders>
              <w:top w:val="nil"/>
              <w:left w:val="nil"/>
              <w:bottom w:val="single" w:color="auto" w:sz="4" w:space="0"/>
              <w:right w:val="single" w:color="auto" w:sz="4" w:space="0"/>
            </w:tcBorders>
            <w:noWrap w:val="0"/>
            <w:vAlign w:val="center"/>
          </w:tcPr>
          <w:p w14:paraId="4D419194">
            <w:pPr>
              <w:spacing w:line="600" w:lineRule="exact"/>
              <w:jc w:val="center"/>
              <w:rPr>
                <w:rFonts w:hint="eastAsia" w:ascii="宋体" w:hAnsi="宋体" w:eastAsia="宋体" w:cs="Times New Roman"/>
                <w:color w:val="auto"/>
                <w:highlight w:val="none"/>
              </w:rPr>
            </w:pPr>
          </w:p>
        </w:tc>
        <w:tc>
          <w:tcPr>
            <w:tcW w:w="1678" w:type="dxa"/>
            <w:tcBorders>
              <w:top w:val="single" w:color="auto" w:sz="4" w:space="0"/>
              <w:left w:val="nil"/>
              <w:bottom w:val="single" w:color="auto" w:sz="4" w:space="0"/>
              <w:right w:val="single" w:color="auto" w:sz="4" w:space="0"/>
            </w:tcBorders>
            <w:noWrap w:val="0"/>
            <w:vAlign w:val="center"/>
          </w:tcPr>
          <w:p w14:paraId="37B34E23">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施工员</w:t>
            </w:r>
          </w:p>
        </w:tc>
        <w:tc>
          <w:tcPr>
            <w:tcW w:w="1412" w:type="dxa"/>
            <w:tcBorders>
              <w:top w:val="single" w:color="auto" w:sz="4" w:space="0"/>
              <w:left w:val="nil"/>
              <w:bottom w:val="single" w:color="auto" w:sz="4" w:space="0"/>
              <w:right w:val="single" w:color="auto" w:sz="4" w:space="0"/>
            </w:tcBorders>
            <w:noWrap w:val="0"/>
            <w:vAlign w:val="center"/>
          </w:tcPr>
          <w:p w14:paraId="1623195E">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1</w:t>
            </w:r>
          </w:p>
        </w:tc>
        <w:tc>
          <w:tcPr>
            <w:tcW w:w="4195" w:type="dxa"/>
            <w:tcBorders>
              <w:top w:val="single" w:color="auto" w:sz="4" w:space="0"/>
              <w:left w:val="nil"/>
              <w:bottom w:val="single" w:color="auto" w:sz="4" w:space="0"/>
              <w:right w:val="single" w:color="auto" w:sz="4" w:space="0"/>
            </w:tcBorders>
            <w:noWrap w:val="0"/>
            <w:vAlign w:val="center"/>
          </w:tcPr>
          <w:p w14:paraId="1386A8DE">
            <w:pPr>
              <w:spacing w:line="320" w:lineRule="exact"/>
              <w:jc w:val="left"/>
              <w:rPr>
                <w:rFonts w:hint="eastAsia" w:ascii="宋体" w:hAnsi="宋体" w:eastAsia="宋体" w:cs="Times New Roman"/>
                <w:color w:val="auto"/>
                <w:highlight w:val="none"/>
              </w:rPr>
            </w:pPr>
            <w:r>
              <w:rPr>
                <w:rFonts w:hint="eastAsia" w:ascii="宋体" w:hAnsi="宋体" w:eastAsia="宋体" w:cs="Times New Roman"/>
                <w:color w:val="auto"/>
                <w:szCs w:val="21"/>
                <w:highlight w:val="none"/>
              </w:rPr>
              <w:t>具备水行政主管部门核发的合格有效的岗位证书，可使用中国水利工程协会的岗位证书。</w:t>
            </w:r>
          </w:p>
        </w:tc>
        <w:tc>
          <w:tcPr>
            <w:tcW w:w="705" w:type="dxa"/>
            <w:vMerge w:val="restart"/>
            <w:tcBorders>
              <w:top w:val="nil"/>
              <w:left w:val="nil"/>
              <w:bottom w:val="single" w:color="auto" w:sz="4" w:space="0"/>
              <w:right w:val="single" w:color="auto" w:sz="4" w:space="0"/>
            </w:tcBorders>
            <w:noWrap w:val="0"/>
            <w:vAlign w:val="center"/>
          </w:tcPr>
          <w:p w14:paraId="7F8842F3">
            <w:pPr>
              <w:spacing w:line="60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经年检合格</w:t>
            </w:r>
          </w:p>
        </w:tc>
      </w:tr>
      <w:tr w14:paraId="35B8E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16" w:hRule="atLeast"/>
          <w:jc w:val="center"/>
        </w:trPr>
        <w:tc>
          <w:tcPr>
            <w:tcW w:w="529" w:type="dxa"/>
            <w:vMerge w:val="continue"/>
            <w:tcBorders>
              <w:top w:val="nil"/>
              <w:left w:val="single" w:color="auto" w:sz="4" w:space="0"/>
              <w:bottom w:val="single" w:color="auto" w:sz="4" w:space="0"/>
              <w:right w:val="single" w:color="auto" w:sz="4" w:space="0"/>
            </w:tcBorders>
            <w:noWrap w:val="0"/>
            <w:vAlign w:val="center"/>
          </w:tcPr>
          <w:p w14:paraId="752740DE">
            <w:pPr>
              <w:spacing w:line="600" w:lineRule="exact"/>
              <w:jc w:val="center"/>
              <w:rPr>
                <w:rFonts w:hint="eastAsia" w:ascii="宋体" w:hAnsi="宋体" w:eastAsia="宋体" w:cs="Times New Roman"/>
                <w:color w:val="auto"/>
                <w:highlight w:val="none"/>
              </w:rPr>
            </w:pPr>
          </w:p>
        </w:tc>
        <w:tc>
          <w:tcPr>
            <w:tcW w:w="640" w:type="dxa"/>
            <w:vMerge w:val="continue"/>
            <w:tcBorders>
              <w:top w:val="nil"/>
              <w:left w:val="nil"/>
              <w:bottom w:val="single" w:color="auto" w:sz="4" w:space="0"/>
              <w:right w:val="single" w:color="auto" w:sz="4" w:space="0"/>
            </w:tcBorders>
            <w:noWrap w:val="0"/>
            <w:vAlign w:val="center"/>
          </w:tcPr>
          <w:p w14:paraId="54B4FA55">
            <w:pPr>
              <w:spacing w:line="600" w:lineRule="exact"/>
              <w:jc w:val="center"/>
              <w:rPr>
                <w:rFonts w:hint="eastAsia" w:ascii="宋体" w:hAnsi="宋体" w:eastAsia="宋体" w:cs="Times New Roman"/>
                <w:color w:val="auto"/>
                <w:highlight w:val="none"/>
              </w:rPr>
            </w:pPr>
          </w:p>
        </w:tc>
        <w:tc>
          <w:tcPr>
            <w:tcW w:w="1678" w:type="dxa"/>
            <w:tcBorders>
              <w:top w:val="single" w:color="auto" w:sz="4" w:space="0"/>
              <w:left w:val="nil"/>
              <w:bottom w:val="single" w:color="auto" w:sz="4" w:space="0"/>
              <w:right w:val="single" w:color="auto" w:sz="4" w:space="0"/>
            </w:tcBorders>
            <w:noWrap w:val="0"/>
            <w:vAlign w:val="center"/>
          </w:tcPr>
          <w:p w14:paraId="6EF8D931">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质检员</w:t>
            </w:r>
          </w:p>
        </w:tc>
        <w:tc>
          <w:tcPr>
            <w:tcW w:w="1412" w:type="dxa"/>
            <w:tcBorders>
              <w:top w:val="single" w:color="auto" w:sz="4" w:space="0"/>
              <w:left w:val="nil"/>
              <w:bottom w:val="single" w:color="auto" w:sz="4" w:space="0"/>
              <w:right w:val="single" w:color="auto" w:sz="4" w:space="0"/>
            </w:tcBorders>
            <w:noWrap w:val="0"/>
            <w:vAlign w:val="center"/>
          </w:tcPr>
          <w:p w14:paraId="32936E01">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1</w:t>
            </w:r>
          </w:p>
        </w:tc>
        <w:tc>
          <w:tcPr>
            <w:tcW w:w="4195" w:type="dxa"/>
            <w:tcBorders>
              <w:top w:val="single" w:color="auto" w:sz="4" w:space="0"/>
              <w:left w:val="nil"/>
              <w:bottom w:val="single" w:color="auto" w:sz="4" w:space="0"/>
              <w:right w:val="single" w:color="auto" w:sz="4" w:space="0"/>
            </w:tcBorders>
            <w:noWrap w:val="0"/>
            <w:vAlign w:val="center"/>
          </w:tcPr>
          <w:p w14:paraId="0348BF88">
            <w:pPr>
              <w:spacing w:line="320" w:lineRule="exact"/>
              <w:jc w:val="left"/>
              <w:rPr>
                <w:rFonts w:hint="eastAsia" w:ascii="宋体" w:hAnsi="宋体" w:eastAsia="宋体" w:cs="Times New Roman"/>
                <w:color w:val="auto"/>
                <w:highlight w:val="none"/>
              </w:rPr>
            </w:pPr>
            <w:r>
              <w:rPr>
                <w:rFonts w:hint="eastAsia" w:ascii="宋体" w:hAnsi="宋体" w:eastAsia="宋体" w:cs="Times New Roman"/>
                <w:color w:val="auto"/>
                <w:szCs w:val="21"/>
                <w:highlight w:val="none"/>
              </w:rPr>
              <w:t>具备水行政主管部门核发的合格有效的岗位证书，可使用中国水利工程协会的岗位证书。</w:t>
            </w:r>
          </w:p>
        </w:tc>
        <w:tc>
          <w:tcPr>
            <w:tcW w:w="705" w:type="dxa"/>
            <w:vMerge w:val="continue"/>
            <w:tcBorders>
              <w:top w:val="nil"/>
              <w:left w:val="nil"/>
              <w:bottom w:val="single" w:color="auto" w:sz="4" w:space="0"/>
              <w:right w:val="single" w:color="auto" w:sz="4" w:space="0"/>
            </w:tcBorders>
            <w:noWrap w:val="0"/>
            <w:vAlign w:val="center"/>
          </w:tcPr>
          <w:p w14:paraId="3F43A6BF">
            <w:pPr>
              <w:spacing w:line="600" w:lineRule="exact"/>
              <w:jc w:val="center"/>
              <w:rPr>
                <w:rFonts w:hint="eastAsia" w:ascii="宋体" w:hAnsi="宋体" w:eastAsia="宋体" w:cs="Times New Roman"/>
                <w:color w:val="auto"/>
                <w:highlight w:val="none"/>
              </w:rPr>
            </w:pPr>
          </w:p>
        </w:tc>
      </w:tr>
      <w:tr w14:paraId="0845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33" w:hRule="atLeast"/>
          <w:jc w:val="center"/>
        </w:trPr>
        <w:tc>
          <w:tcPr>
            <w:tcW w:w="529" w:type="dxa"/>
            <w:vMerge w:val="continue"/>
            <w:tcBorders>
              <w:top w:val="nil"/>
              <w:left w:val="single" w:color="auto" w:sz="4" w:space="0"/>
              <w:bottom w:val="single" w:color="auto" w:sz="4" w:space="0"/>
              <w:right w:val="single" w:color="auto" w:sz="4" w:space="0"/>
            </w:tcBorders>
            <w:noWrap w:val="0"/>
            <w:vAlign w:val="center"/>
          </w:tcPr>
          <w:p w14:paraId="59BF7C05">
            <w:pPr>
              <w:spacing w:line="600" w:lineRule="exact"/>
              <w:jc w:val="center"/>
              <w:rPr>
                <w:rFonts w:hint="eastAsia" w:ascii="宋体" w:hAnsi="宋体" w:eastAsia="宋体" w:cs="Times New Roman"/>
                <w:color w:val="auto"/>
                <w:highlight w:val="none"/>
              </w:rPr>
            </w:pPr>
          </w:p>
        </w:tc>
        <w:tc>
          <w:tcPr>
            <w:tcW w:w="640" w:type="dxa"/>
            <w:vMerge w:val="continue"/>
            <w:tcBorders>
              <w:top w:val="nil"/>
              <w:left w:val="nil"/>
              <w:bottom w:val="single" w:color="auto" w:sz="4" w:space="0"/>
              <w:right w:val="single" w:color="auto" w:sz="4" w:space="0"/>
            </w:tcBorders>
            <w:noWrap w:val="0"/>
            <w:vAlign w:val="center"/>
          </w:tcPr>
          <w:p w14:paraId="3C42F0F0">
            <w:pPr>
              <w:spacing w:line="600" w:lineRule="exact"/>
              <w:jc w:val="center"/>
              <w:rPr>
                <w:rFonts w:hint="eastAsia" w:ascii="宋体" w:hAnsi="宋体" w:eastAsia="宋体" w:cs="Times New Roman"/>
                <w:color w:val="auto"/>
                <w:highlight w:val="none"/>
              </w:rPr>
            </w:pPr>
          </w:p>
        </w:tc>
        <w:tc>
          <w:tcPr>
            <w:tcW w:w="1678" w:type="dxa"/>
            <w:tcBorders>
              <w:top w:val="single" w:color="auto" w:sz="4" w:space="0"/>
              <w:left w:val="nil"/>
              <w:bottom w:val="single" w:color="auto" w:sz="4" w:space="0"/>
              <w:right w:val="single" w:color="auto" w:sz="4" w:space="0"/>
            </w:tcBorders>
            <w:noWrap w:val="0"/>
            <w:vAlign w:val="center"/>
          </w:tcPr>
          <w:p w14:paraId="3CBA6211">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安全员</w:t>
            </w:r>
          </w:p>
        </w:tc>
        <w:tc>
          <w:tcPr>
            <w:tcW w:w="1412" w:type="dxa"/>
            <w:tcBorders>
              <w:top w:val="single" w:color="auto" w:sz="4" w:space="0"/>
              <w:left w:val="nil"/>
              <w:bottom w:val="single" w:color="auto" w:sz="4" w:space="0"/>
              <w:right w:val="single" w:color="auto" w:sz="4" w:space="0"/>
            </w:tcBorders>
            <w:noWrap w:val="0"/>
            <w:vAlign w:val="center"/>
          </w:tcPr>
          <w:p w14:paraId="185C3E48">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1</w:t>
            </w:r>
          </w:p>
        </w:tc>
        <w:tc>
          <w:tcPr>
            <w:tcW w:w="4195" w:type="dxa"/>
            <w:tcBorders>
              <w:top w:val="single" w:color="auto" w:sz="4" w:space="0"/>
              <w:left w:val="nil"/>
              <w:bottom w:val="single" w:color="auto" w:sz="4" w:space="0"/>
              <w:right w:val="single" w:color="auto" w:sz="4" w:space="0"/>
            </w:tcBorders>
            <w:noWrap w:val="0"/>
            <w:vAlign w:val="center"/>
          </w:tcPr>
          <w:p w14:paraId="7542D118">
            <w:pPr>
              <w:spacing w:line="320" w:lineRule="exact"/>
              <w:jc w:val="left"/>
              <w:rPr>
                <w:rFonts w:hint="eastAsia" w:ascii="宋体" w:hAnsi="宋体" w:eastAsia="宋体" w:cs="Times New Roman"/>
                <w:color w:val="auto"/>
                <w:highlight w:val="none"/>
              </w:rPr>
            </w:pPr>
            <w:r>
              <w:rPr>
                <w:rFonts w:hint="eastAsia" w:ascii="宋体" w:hAnsi="宋体" w:eastAsia="宋体" w:cs="Times New Roman"/>
                <w:color w:val="auto"/>
                <w:szCs w:val="21"/>
                <w:highlight w:val="none"/>
              </w:rPr>
              <w:t>具备水行政主管部门核发的合格有效的岗位证书</w:t>
            </w:r>
            <w:r>
              <w:rPr>
                <w:rFonts w:hint="eastAsia" w:ascii="宋体" w:hAnsi="宋体" w:eastAsia="宋体" w:cs="Times New Roman"/>
                <w:color w:val="auto"/>
                <w:szCs w:val="21"/>
                <w:highlight w:val="none"/>
                <w:lang w:val="en-US" w:eastAsia="zh-CN"/>
              </w:rPr>
              <w:t>和</w:t>
            </w:r>
            <w:r>
              <w:rPr>
                <w:rFonts w:hint="eastAsia" w:ascii="宋体" w:hAnsi="宋体" w:eastAsia="宋体" w:cs="Times New Roman"/>
                <w:color w:val="auto"/>
                <w:szCs w:val="21"/>
                <w:highlight w:val="none"/>
              </w:rPr>
              <w:t>水行政主管部门颁发的安全考核合格证书（C证），可使用中国水利工程协会的岗位证书。</w:t>
            </w:r>
          </w:p>
        </w:tc>
        <w:tc>
          <w:tcPr>
            <w:tcW w:w="705" w:type="dxa"/>
            <w:vMerge w:val="continue"/>
            <w:tcBorders>
              <w:top w:val="nil"/>
              <w:left w:val="nil"/>
              <w:bottom w:val="single" w:color="auto" w:sz="4" w:space="0"/>
              <w:right w:val="single" w:color="auto" w:sz="4" w:space="0"/>
            </w:tcBorders>
            <w:noWrap w:val="0"/>
            <w:vAlign w:val="center"/>
          </w:tcPr>
          <w:p w14:paraId="121A067D">
            <w:pPr>
              <w:spacing w:line="600" w:lineRule="exact"/>
              <w:jc w:val="center"/>
              <w:rPr>
                <w:rFonts w:hint="eastAsia" w:ascii="宋体" w:hAnsi="宋体" w:eastAsia="宋体" w:cs="Times New Roman"/>
                <w:color w:val="auto"/>
                <w:highlight w:val="none"/>
              </w:rPr>
            </w:pPr>
          </w:p>
        </w:tc>
      </w:tr>
      <w:tr w14:paraId="1249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4" w:hRule="atLeast"/>
          <w:jc w:val="center"/>
        </w:trPr>
        <w:tc>
          <w:tcPr>
            <w:tcW w:w="529" w:type="dxa"/>
            <w:vMerge w:val="continue"/>
            <w:tcBorders>
              <w:top w:val="nil"/>
              <w:left w:val="single" w:color="auto" w:sz="4" w:space="0"/>
              <w:bottom w:val="single" w:color="auto" w:sz="4" w:space="0"/>
              <w:right w:val="single" w:color="auto" w:sz="4" w:space="0"/>
            </w:tcBorders>
            <w:noWrap w:val="0"/>
            <w:vAlign w:val="center"/>
          </w:tcPr>
          <w:p w14:paraId="2049266A">
            <w:pPr>
              <w:spacing w:line="600" w:lineRule="exact"/>
              <w:jc w:val="center"/>
              <w:rPr>
                <w:rFonts w:hint="eastAsia" w:ascii="宋体" w:hAnsi="宋体" w:eastAsia="宋体" w:cs="Times New Roman"/>
                <w:color w:val="auto"/>
                <w:highlight w:val="none"/>
              </w:rPr>
            </w:pPr>
          </w:p>
        </w:tc>
        <w:tc>
          <w:tcPr>
            <w:tcW w:w="640" w:type="dxa"/>
            <w:vMerge w:val="continue"/>
            <w:tcBorders>
              <w:top w:val="nil"/>
              <w:left w:val="nil"/>
              <w:bottom w:val="single" w:color="auto" w:sz="4" w:space="0"/>
              <w:right w:val="single" w:color="auto" w:sz="4" w:space="0"/>
            </w:tcBorders>
            <w:noWrap w:val="0"/>
            <w:vAlign w:val="center"/>
          </w:tcPr>
          <w:p w14:paraId="32A7CB73">
            <w:pPr>
              <w:spacing w:line="600" w:lineRule="exact"/>
              <w:jc w:val="center"/>
              <w:rPr>
                <w:rFonts w:hint="eastAsia" w:ascii="宋体" w:hAnsi="宋体" w:eastAsia="宋体" w:cs="Times New Roman"/>
                <w:color w:val="auto"/>
                <w:highlight w:val="none"/>
              </w:rPr>
            </w:pPr>
          </w:p>
        </w:tc>
        <w:tc>
          <w:tcPr>
            <w:tcW w:w="1678" w:type="dxa"/>
            <w:tcBorders>
              <w:top w:val="single" w:color="auto" w:sz="4" w:space="0"/>
              <w:left w:val="nil"/>
              <w:bottom w:val="single" w:color="auto" w:sz="4" w:space="0"/>
              <w:right w:val="single" w:color="auto" w:sz="4" w:space="0"/>
            </w:tcBorders>
            <w:noWrap w:val="0"/>
            <w:vAlign w:val="center"/>
          </w:tcPr>
          <w:p w14:paraId="6BD35F60">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材料员</w:t>
            </w:r>
          </w:p>
        </w:tc>
        <w:tc>
          <w:tcPr>
            <w:tcW w:w="1412" w:type="dxa"/>
            <w:tcBorders>
              <w:top w:val="single" w:color="auto" w:sz="4" w:space="0"/>
              <w:left w:val="nil"/>
              <w:bottom w:val="single" w:color="auto" w:sz="4" w:space="0"/>
              <w:right w:val="single" w:color="auto" w:sz="4" w:space="0"/>
            </w:tcBorders>
            <w:noWrap w:val="0"/>
            <w:vAlign w:val="center"/>
          </w:tcPr>
          <w:p w14:paraId="157EA205">
            <w:pPr>
              <w:spacing w:line="320" w:lineRule="exact"/>
              <w:jc w:val="center"/>
              <w:rPr>
                <w:rFonts w:hint="eastAsia" w:ascii="宋体" w:hAnsi="宋体" w:eastAsia="宋体" w:cs="Times New Roman"/>
                <w:color w:val="auto"/>
                <w:highlight w:val="none"/>
              </w:rPr>
            </w:pPr>
            <w:r>
              <w:rPr>
                <w:rFonts w:hint="eastAsia" w:ascii="宋体" w:hAnsi="宋体" w:eastAsia="宋体" w:cs="Times New Roman"/>
                <w:color w:val="auto"/>
                <w:highlight w:val="none"/>
              </w:rPr>
              <w:t>1</w:t>
            </w:r>
          </w:p>
        </w:tc>
        <w:tc>
          <w:tcPr>
            <w:tcW w:w="4195" w:type="dxa"/>
            <w:tcBorders>
              <w:top w:val="single" w:color="auto" w:sz="4" w:space="0"/>
              <w:left w:val="nil"/>
              <w:bottom w:val="single" w:color="auto" w:sz="4" w:space="0"/>
              <w:right w:val="single" w:color="auto" w:sz="4" w:space="0"/>
            </w:tcBorders>
            <w:noWrap w:val="0"/>
            <w:vAlign w:val="center"/>
          </w:tcPr>
          <w:p w14:paraId="6BC29597">
            <w:pPr>
              <w:spacing w:line="320" w:lineRule="exact"/>
              <w:jc w:val="left"/>
              <w:rPr>
                <w:rFonts w:hint="eastAsia" w:ascii="宋体" w:hAnsi="宋体" w:eastAsia="宋体" w:cs="Times New Roman"/>
                <w:color w:val="auto"/>
                <w:highlight w:val="none"/>
              </w:rPr>
            </w:pPr>
            <w:r>
              <w:rPr>
                <w:rFonts w:hint="eastAsia" w:ascii="宋体" w:hAnsi="宋体" w:eastAsia="宋体" w:cs="Times New Roman"/>
                <w:color w:val="auto"/>
                <w:szCs w:val="21"/>
                <w:highlight w:val="none"/>
              </w:rPr>
              <w:t>具备水行政主管部门核发的合格有效的岗位证书，可使用中国水利工程协会的岗位证书。</w:t>
            </w:r>
          </w:p>
        </w:tc>
        <w:tc>
          <w:tcPr>
            <w:tcW w:w="705" w:type="dxa"/>
            <w:vMerge w:val="continue"/>
            <w:tcBorders>
              <w:top w:val="nil"/>
              <w:left w:val="nil"/>
              <w:bottom w:val="single" w:color="auto" w:sz="4" w:space="0"/>
              <w:right w:val="single" w:color="auto" w:sz="4" w:space="0"/>
            </w:tcBorders>
            <w:noWrap w:val="0"/>
            <w:vAlign w:val="center"/>
          </w:tcPr>
          <w:p w14:paraId="05754A77">
            <w:pPr>
              <w:spacing w:line="600" w:lineRule="exact"/>
              <w:jc w:val="center"/>
              <w:rPr>
                <w:rFonts w:hint="eastAsia" w:ascii="宋体" w:hAnsi="宋体" w:eastAsia="宋体" w:cs="Times New Roman"/>
                <w:color w:val="auto"/>
                <w:highlight w:val="none"/>
              </w:rPr>
            </w:pPr>
          </w:p>
        </w:tc>
      </w:tr>
    </w:tbl>
    <w:p w14:paraId="2E0BC8D0">
      <w:pPr>
        <w:snapToGrid w:val="0"/>
        <w:spacing w:line="360" w:lineRule="auto"/>
        <w:jc w:val="left"/>
        <w:rPr>
          <w:rFonts w:hint="eastAsia" w:ascii="宋体" w:hAnsi="宋体" w:eastAsia="宋体" w:cs="仿宋_GB2312"/>
          <w:b/>
          <w:color w:val="auto"/>
          <w:sz w:val="24"/>
          <w:highlight w:val="none"/>
        </w:rPr>
      </w:pPr>
      <w:r>
        <w:rPr>
          <w:rFonts w:hint="eastAsia" w:ascii="宋体" w:hAnsi="宋体" w:eastAsia="宋体" w:cs="仿宋_GB2312"/>
          <w:b/>
          <w:color w:val="auto"/>
          <w:sz w:val="24"/>
          <w:highlight w:val="none"/>
        </w:rPr>
        <w:t>备注：</w:t>
      </w:r>
    </w:p>
    <w:p w14:paraId="4243996C">
      <w:pPr>
        <w:widowControl/>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1、上述施工管理人员不能在本招标项目中同时担任两个或两个以上的施工管理岗位。</w:t>
      </w:r>
    </w:p>
    <w:p w14:paraId="4D307036">
      <w:pPr>
        <w:widowControl/>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2、开标时资格审查小组不对以上材料的真实性进行核查，投标人应对其负责。 </w:t>
      </w:r>
    </w:p>
    <w:p w14:paraId="2C0185D1">
      <w:pPr>
        <w:widowControl/>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投标人在投标时应按招标文件第七章“投标文件格式”中的要求填写拟派建造师的具体信息，项目经理的资格证书及安全生产考核合格证书等相关证书证件应制作在投标文件中，未放入投标文件中按废标处理。 </w:t>
      </w:r>
    </w:p>
    <w:p w14:paraId="309EF8A7">
      <w:pPr>
        <w:widowControl/>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4、投标人在投标时</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需填写项目技术负责人等其他项目管理人员的具体信息。</w:t>
      </w:r>
    </w:p>
    <w:p w14:paraId="5FFCFB20">
      <w:pPr>
        <w:widowControl/>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5、以上人员配备为最低要求，最终人员配备以相关文件标准及相关主管部门的要求配备到位。中标单位应无条件配备充足人员，招标人不另行支付费用。</w:t>
      </w:r>
    </w:p>
    <w:p w14:paraId="267586BA">
      <w:pPr>
        <w:widowControl/>
        <w:snapToGrid w:val="0"/>
        <w:spacing w:line="440" w:lineRule="exact"/>
        <w:ind w:firstLine="480" w:firstLineChars="200"/>
        <w:jc w:val="left"/>
        <w:rPr>
          <w:rFonts w:hint="eastAsia" w:ascii="宋体" w:hAnsi="宋体" w:eastAsia="宋体" w:cs="宋体"/>
          <w:color w:val="auto"/>
          <w:sz w:val="30"/>
          <w:szCs w:val="30"/>
          <w:highlight w:val="none"/>
        </w:rPr>
      </w:pPr>
      <w:r>
        <w:rPr>
          <w:rFonts w:hint="eastAsia" w:ascii="宋体" w:hAnsi="宋体" w:eastAsia="宋体" w:cs="宋体"/>
          <w:color w:val="auto"/>
          <w:sz w:val="24"/>
          <w:highlight w:val="none"/>
        </w:rPr>
        <w:t>6、投标人中标后若不能按《拟派出主要项目管理人员配备标准》要求配备项目技术负责人等其他项目管理人员的，招标人将取消中标人的中标资格和没收其投标保证金。</w:t>
      </w:r>
    </w:p>
    <w:p w14:paraId="52A0E070">
      <w:pPr>
        <w:snapToGrid w:val="0"/>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（六）授予合同</w:t>
      </w:r>
    </w:p>
    <w:p w14:paraId="4917D929">
      <w:pPr>
        <w:keepNext w:val="0"/>
        <w:keepLines w:val="0"/>
        <w:pageBreakBefore w:val="0"/>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6</w:t>
      </w:r>
      <w:r>
        <w:rPr>
          <w:rFonts w:hint="eastAsia" w:ascii="宋体" w:hAnsi="宋体" w:eastAsia="宋体" w:cs="宋体"/>
          <w:b/>
          <w:bCs/>
          <w:color w:val="auto"/>
          <w:sz w:val="24"/>
          <w:highlight w:val="none"/>
        </w:rPr>
        <w:t>. 签订合同</w:t>
      </w:r>
    </w:p>
    <w:p w14:paraId="444AAAEB">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 xml:space="preserve">.1 </w:t>
      </w:r>
      <w:r>
        <w:rPr>
          <w:rFonts w:hint="eastAsia" w:ascii="宋体" w:hAnsi="宋体" w:eastAsia="宋体" w:cs="宋体"/>
          <w:b/>
          <w:color w:val="auto"/>
          <w:sz w:val="24"/>
          <w:highlight w:val="none"/>
        </w:rPr>
        <w:t>中标人应在中标通知书发出后</w:t>
      </w: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日内</w:t>
      </w:r>
      <w:r>
        <w:rPr>
          <w:rFonts w:hint="eastAsia" w:ascii="宋体" w:hAnsi="宋体" w:eastAsia="宋体" w:cs="宋体"/>
          <w:color w:val="auto"/>
          <w:sz w:val="24"/>
          <w:highlight w:val="none"/>
        </w:rPr>
        <w:t>缴纳履约保证金并与招标人签订建设工程施工合同</w:t>
      </w:r>
      <w:r>
        <w:rPr>
          <w:rFonts w:hint="eastAsia" w:ascii="宋体" w:hAnsi="宋体" w:eastAsia="宋体" w:cs="宋体"/>
          <w:b/>
          <w:color w:val="auto"/>
          <w:sz w:val="24"/>
          <w:highlight w:val="none"/>
        </w:rPr>
        <w:t>,中标人应在签订合同后，接到监理单位发布开工令时间进场施工，未在规定时间内</w:t>
      </w:r>
      <w:r>
        <w:rPr>
          <w:rFonts w:hint="eastAsia" w:ascii="宋体" w:hAnsi="宋体" w:eastAsia="宋体" w:cs="宋体"/>
          <w:b/>
          <w:color w:val="auto"/>
          <w:sz w:val="24"/>
          <w:highlight w:val="none"/>
          <w:lang w:val="en-US" w:eastAsia="zh-CN"/>
        </w:rPr>
        <w:t>签订施工合同的或</w:t>
      </w:r>
      <w:r>
        <w:rPr>
          <w:rFonts w:hint="eastAsia" w:ascii="宋体" w:hAnsi="宋体" w:eastAsia="宋体" w:cs="宋体"/>
          <w:b/>
          <w:color w:val="auto"/>
          <w:sz w:val="24"/>
          <w:highlight w:val="none"/>
        </w:rPr>
        <w:t>进场施工的，招标人有权解除合同，重新组织招标并没收投标保证金与履约保证金。</w:t>
      </w:r>
    </w:p>
    <w:p w14:paraId="7FBD655E">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.2 中标通知书发出后，中标人因非不可抗力事由放弃中标的、逾期不与建设单位签订施工合同的、在签订合同时向招标人提出附加条件或者更改合同实质性内容的，或者拒不提交履约保证金的，招标人可取消其中标资格，没收其投标保证金并重新招标。本次招标和重新招标所发生的费用及中标差价等损失由放弃中标的中标人负责赔偿。</w:t>
      </w:r>
    </w:p>
    <w:p w14:paraId="1ABCD38F">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.3承包人必须按照《保障农民工工资支付条例》、《关于转发福建省人力资源和社会保障厅等六部门&lt;关于转发福建省工程建设领域农民工工资保证金管理实施办法的通知&gt;的通知》（莆市水利函 〔2022〕14号）、《关于转发福建省人力资源和社会保障厅等九部门&lt;关于印发福建省工程建设领域农民工工资专用账户管理实施细则的通知&gt;的通知》（莆治欠办发〔2021〕19号）、《莆田市根治拖欠农民工工资工作领导小组办公室关于转发&lt;福建省工程建设领域保障农民工工资支付规范化管理指导手册（第二版）&gt;的通知》（莆治欠办发〔2022〕20号）、《关于启动福建省劳动监测预警和智慧就业大数据平台的通知》等有关规定建立工资保证金专户及存储工资保证金，按月足额支付农民工工资。如有新的文件，按新的文件执行。</w:t>
      </w:r>
    </w:p>
    <w:p w14:paraId="26822EBD">
      <w:pPr>
        <w:keepNext w:val="0"/>
        <w:keepLines w:val="0"/>
        <w:pageBreakBefore w:val="0"/>
        <w:kinsoku/>
        <w:wordWrap/>
        <w:overflowPunct/>
        <w:topLinePunct w:val="0"/>
        <w:autoSpaceDE/>
        <w:autoSpaceDN/>
        <w:bidi w:val="0"/>
        <w:adjustRightInd/>
        <w:spacing w:line="440" w:lineRule="exact"/>
        <w:ind w:firstLine="482" w:firstLineChars="200"/>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7</w:t>
      </w:r>
      <w:r>
        <w:rPr>
          <w:rFonts w:hint="eastAsia" w:ascii="宋体" w:hAnsi="宋体" w:eastAsia="宋体" w:cs="宋体"/>
          <w:b/>
          <w:bCs/>
          <w:color w:val="auto"/>
          <w:sz w:val="24"/>
          <w:highlight w:val="none"/>
        </w:rPr>
        <w:t>. 履约担保</w:t>
      </w:r>
    </w:p>
    <w:p w14:paraId="44CECEEF">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 中标人在签定施工合同时，应向招标人提交履约保证金，履约保证金数额为合同金额的</w:t>
      </w:r>
      <w:r>
        <w:rPr>
          <w:rFonts w:hint="eastAsia" w:ascii="宋体" w:hAnsi="宋体" w:eastAsia="宋体" w:cs="宋体"/>
          <w:color w:val="auto"/>
          <w:sz w:val="24"/>
          <w:highlight w:val="none"/>
          <w:u w:val="single"/>
        </w:rPr>
        <w:t>10</w:t>
      </w:r>
      <w:r>
        <w:rPr>
          <w:rFonts w:hint="eastAsia" w:ascii="宋体" w:hAnsi="宋体" w:eastAsia="宋体" w:cs="宋体"/>
          <w:color w:val="auto"/>
          <w:sz w:val="24"/>
          <w:highlight w:val="none"/>
        </w:rPr>
        <w:t>%。</w:t>
      </w:r>
    </w:p>
    <w:p w14:paraId="016A38BA">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27.2 </w:t>
      </w:r>
      <w:r>
        <w:rPr>
          <w:rFonts w:hint="eastAsia" w:ascii="宋体" w:hAnsi="宋体" w:eastAsia="宋体" w:cs="宋体"/>
          <w:color w:val="auto"/>
          <w:sz w:val="24"/>
          <w:highlight w:val="none"/>
        </w:rPr>
        <w:t>履约担保形式：</w:t>
      </w:r>
      <w:bookmarkStart w:id="6" w:name="EBb3a65cb7b3f74df7aa7df5983377decd"/>
      <w:r>
        <w:rPr>
          <w:rFonts w:hint="eastAsia" w:ascii="宋体" w:hAnsi="宋体" w:eastAsia="宋体" w:cs="宋体"/>
          <w:color w:val="auto"/>
          <w:sz w:val="24"/>
          <w:highlight w:val="none"/>
        </w:rPr>
        <w:t>可采用现金转</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或银行保函或担保保函或保证保险的方式提交。采用现金转账方式缴纳的，须从中标人账户转入招标人指定账户（采用非现金方式递交的，应根据闽建筑[2020]8号文件规定执行。）</w:t>
      </w:r>
      <w:bookmarkEnd w:id="6"/>
    </w:p>
    <w:p w14:paraId="23D1830D">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27.3 </w:t>
      </w:r>
      <w:r>
        <w:rPr>
          <w:rFonts w:hint="eastAsia" w:ascii="宋体" w:hAnsi="宋体" w:eastAsia="宋体" w:cs="宋体"/>
          <w:color w:val="auto"/>
          <w:sz w:val="24"/>
          <w:highlight w:val="none"/>
        </w:rPr>
        <w:t>履约担保期限：</w:t>
      </w:r>
      <w:bookmarkStart w:id="7" w:name="EBf94a9bb7d6c94e6eb4f45b516905bdd6"/>
    </w:p>
    <w:p w14:paraId="01C9D775">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①以现金方式提交的履约保证金的，应由中标单位企业基本账户转到招标人指定银行账户，有效期应当截止到工程施工合同规定的</w:t>
      </w:r>
      <w:r>
        <w:rPr>
          <w:rFonts w:hint="eastAsia" w:ascii="宋体" w:hAnsi="宋体" w:eastAsia="宋体" w:cs="宋体"/>
          <w:color w:val="auto"/>
          <w:sz w:val="24"/>
          <w:highlight w:val="none"/>
          <w:lang w:val="zh-CN"/>
        </w:rPr>
        <w:t>工程竣工（交工、完工）</w:t>
      </w:r>
      <w:r>
        <w:rPr>
          <w:color w:val="auto"/>
          <w:spacing w:val="8"/>
          <w:sz w:val="24"/>
          <w:szCs w:val="24"/>
          <w:highlight w:val="none"/>
        </w:rPr>
        <w:t xml:space="preserve"> </w:t>
      </w:r>
      <w:r>
        <w:rPr>
          <w:rFonts w:hint="eastAsia" w:ascii="宋体" w:hAnsi="宋体" w:eastAsia="宋体" w:cs="宋体"/>
          <w:color w:val="auto"/>
          <w:sz w:val="24"/>
          <w:highlight w:val="none"/>
        </w:rPr>
        <w:t>验收合格之日；履约保证金在完成施工合同约定的施工项目并通过</w:t>
      </w:r>
      <w:r>
        <w:rPr>
          <w:rFonts w:hint="eastAsia" w:ascii="宋体" w:hAnsi="宋体" w:eastAsia="宋体" w:cs="Times New Roman"/>
          <w:b/>
          <w:color w:val="auto"/>
          <w:szCs w:val="21"/>
          <w:highlight w:val="none"/>
          <w:lang w:val="zh-CN"/>
        </w:rPr>
        <w:t>工程竣工（交工、完工）</w:t>
      </w:r>
      <w:r>
        <w:rPr>
          <w:rFonts w:hint="eastAsia" w:ascii="宋体" w:hAnsi="宋体" w:eastAsia="宋体" w:cs="宋体"/>
          <w:color w:val="auto"/>
          <w:sz w:val="24"/>
          <w:highlight w:val="none"/>
        </w:rPr>
        <w:t>质量验收后，凭工程质量验收合格证明申请无息返还履约保证金。</w:t>
      </w:r>
    </w:p>
    <w:p w14:paraId="196C0413">
      <w:pPr>
        <w:keepNext w:val="0"/>
        <w:keepLines w:val="0"/>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根据国务院办公厅关于清理规范工程建设领域保证金的通知国办发〔2016〕49号、闽政办[2016]146号、建市〔2016〕149号文件要求，若履约保证金采用保函形式的，须履行以下条款：A.在担保有效期内，因中标人原因导致工程无法如期顺利施工的；或因中标人违反招标文件、合同约定的义务及相关部门文件给招标人造成经济损失的，招标人有权要求担保人在7天内无条件先行赔付。B.（如保函有效期为具体日期的）过期：履约保函有效期截止日前一个月内，中标人需提供等额等内容的新履约保函，如若中标人未提供新履约保函，招标人将暂停支付一切工程款项，同时自保函过期之日起，招标人有权在合同款项中按担保金额</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000元/天）扣罚相应违约金。C.</w:t>
      </w:r>
      <w:r>
        <w:rPr>
          <w:rFonts w:hint="eastAsia" w:ascii="宋体" w:hAnsi="宋体" w:eastAsia="宋体" w:cs="宋体"/>
          <w:b/>
          <w:bCs/>
          <w:color w:val="auto"/>
          <w:sz w:val="24"/>
          <w:highlight w:val="none"/>
        </w:rPr>
        <w:t>中标人提供的保函需有此条内容：在本保函有效期内，发包人有权发函担保单位，担保单位收到发包人的书面通知后，7天内无条件先行赔付。</w:t>
      </w:r>
      <w:r>
        <w:rPr>
          <w:rFonts w:hint="eastAsia" w:ascii="宋体" w:hAnsi="宋体" w:eastAsia="宋体" w:cs="宋体"/>
          <w:color w:val="auto"/>
          <w:sz w:val="24"/>
          <w:highlight w:val="none"/>
        </w:rPr>
        <w:t>D.因政策性、征地拆迁等原因，造成项目工期拖延的，乙方需无条件出具延期银行保函。E.履约担保以保函递交的，需按相关规定执行。F.若担保人无法履行履约保函约定的条款的，中标人需在5日内以现金转账形式向招标人提交全额履约保证金，否则承担担保金额20%的违约金。采用银行保函 、担保保函、保证保险保函的，保函有效期必须延续到</w:t>
      </w:r>
      <w:r>
        <w:rPr>
          <w:rFonts w:hint="eastAsia" w:ascii="宋体" w:hAnsi="宋体" w:eastAsia="宋体" w:cs="Times New Roman"/>
          <w:b/>
          <w:color w:val="auto"/>
          <w:szCs w:val="21"/>
          <w:highlight w:val="none"/>
          <w:lang w:val="zh-CN"/>
        </w:rPr>
        <w:t>工程竣工（交工、完工）</w:t>
      </w:r>
      <w:r>
        <w:rPr>
          <w:color w:val="auto"/>
          <w:spacing w:val="8"/>
          <w:sz w:val="24"/>
          <w:szCs w:val="24"/>
          <w:highlight w:val="none"/>
        </w:rPr>
        <w:t xml:space="preserve"> </w:t>
      </w:r>
      <w:r>
        <w:rPr>
          <w:rFonts w:hint="eastAsia" w:ascii="宋体" w:hAnsi="宋体" w:eastAsia="宋体" w:cs="宋体"/>
          <w:color w:val="auto"/>
          <w:sz w:val="24"/>
          <w:highlight w:val="none"/>
        </w:rPr>
        <w:t>验收合格后28日内。若保函时效没有达到上述规定，必须补足时效，否则，招标人将不支付工程款。（备注：银行保函、担保保函、保证保险保函应能够通过互联网验证真伪，保证人应是中华人民共和国境内注册的有资格的银行、专业担保公司，并提供在线申请索赔服务。担保人或保险人应当承诺在收到被担保人或被保险人书面赔付通知后7日内无条件先行赔付</w:t>
      </w:r>
      <w:bookmarkEnd w:id="7"/>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p>
    <w:p w14:paraId="5F98908E">
      <w:pPr>
        <w:keepNext w:val="0"/>
        <w:keepLines w:val="0"/>
        <w:pageBreakBefore w:val="0"/>
        <w:widowControl/>
        <w:kinsoku/>
        <w:wordWrap/>
        <w:overflowPunct/>
        <w:topLinePunct w:val="0"/>
        <w:autoSpaceDE/>
        <w:autoSpaceDN/>
        <w:bidi w:val="0"/>
        <w:adjustRightInd/>
        <w:spacing w:line="440" w:lineRule="exact"/>
        <w:ind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 xml:space="preserve">.3 </w:t>
      </w:r>
      <w:r>
        <w:rPr>
          <w:rFonts w:hint="eastAsia" w:ascii="宋体" w:hAnsi="宋体" w:eastAsia="宋体" w:cs="Times New Roman"/>
          <w:color w:val="auto"/>
          <w:sz w:val="24"/>
          <w:highlight w:val="none"/>
        </w:rPr>
        <w:t xml:space="preserve">付款方式： </w:t>
      </w:r>
    </w:p>
    <w:p w14:paraId="765F0C0B">
      <w:pPr>
        <w:keepNext w:val="0"/>
        <w:keepLines w:val="0"/>
        <w:pageBreakBefore w:val="0"/>
        <w:widowControl/>
        <w:kinsoku/>
        <w:wordWrap/>
        <w:overflowPunct/>
        <w:topLinePunct w:val="0"/>
        <w:autoSpaceDE/>
        <w:autoSpaceDN/>
        <w:bidi w:val="0"/>
        <w:adjustRightInd/>
        <w:spacing w:line="440" w:lineRule="exact"/>
        <w:ind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1）预付款支付比例或金额：</w:t>
      </w:r>
      <w:r>
        <w:rPr>
          <w:rFonts w:hint="eastAsia" w:ascii="宋体" w:hAnsi="宋体" w:eastAsia="宋体" w:cs="Times New Roman"/>
          <w:color w:val="auto"/>
          <w:sz w:val="24"/>
          <w:highlight w:val="none"/>
          <w:lang w:val="zh-CN"/>
        </w:rPr>
        <w:t>采用</w:t>
      </w:r>
      <w:r>
        <w:rPr>
          <w:rFonts w:hint="eastAsia" w:ascii="宋体" w:hAnsi="宋体" w:eastAsia="宋体" w:cs="Times New Roman"/>
          <w:color w:val="auto"/>
          <w:sz w:val="24"/>
          <w:highlight w:val="none"/>
        </w:rPr>
        <w:t>非现金（转账）</w:t>
      </w:r>
      <w:r>
        <w:rPr>
          <w:rFonts w:hint="eastAsia" w:ascii="宋体" w:hAnsi="宋体" w:eastAsia="宋体" w:cs="Times New Roman"/>
          <w:color w:val="auto"/>
          <w:sz w:val="24"/>
          <w:highlight w:val="none"/>
          <w:lang w:val="zh-CN"/>
        </w:rPr>
        <w:t>形式提交履约保证金的，建设单位则不支付</w:t>
      </w:r>
      <w:r>
        <w:rPr>
          <w:rFonts w:hint="eastAsia" w:ascii="宋体" w:hAnsi="宋体" w:eastAsia="宋体" w:cs="Times New Roman"/>
          <w:color w:val="auto"/>
          <w:sz w:val="24"/>
          <w:highlight w:val="none"/>
        </w:rPr>
        <w:t>10</w:t>
      </w:r>
      <w:r>
        <w:rPr>
          <w:rFonts w:hint="eastAsia" w:ascii="宋体" w:hAnsi="宋体" w:eastAsia="宋体" w:cs="Times New Roman"/>
          <w:color w:val="auto"/>
          <w:sz w:val="24"/>
          <w:highlight w:val="none"/>
          <w:lang w:val="zh-CN"/>
        </w:rPr>
        <w:t>％的工程预付款。</w:t>
      </w:r>
    </w:p>
    <w:p w14:paraId="7416A2DB">
      <w:pPr>
        <w:keepNext w:val="0"/>
        <w:keepLines w:val="0"/>
        <w:pageBreakBefore w:val="0"/>
        <w:widowControl/>
        <w:kinsoku/>
        <w:wordWrap/>
        <w:overflowPunct/>
        <w:topLinePunct w:val="0"/>
        <w:autoSpaceDE/>
        <w:autoSpaceDN/>
        <w:bidi w:val="0"/>
        <w:adjustRightInd/>
        <w:spacing w:line="440" w:lineRule="exact"/>
        <w:ind w:firstLine="480" w:firstLineChars="200"/>
        <w:jc w:val="both"/>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2）施工图范围内的工程量进度款按核定完成工程量的80%拨付。具体按以下公式计算：</w:t>
      </w:r>
    </w:p>
    <w:p w14:paraId="28661FCD">
      <w:pPr>
        <w:keepNext w:val="0"/>
        <w:keepLines w:val="0"/>
        <w:pageBreakBefore w:val="0"/>
        <w:widowControl/>
        <w:kinsoku/>
        <w:wordWrap/>
        <w:overflowPunct/>
        <w:topLinePunct w:val="0"/>
        <w:autoSpaceDE/>
        <w:autoSpaceDN/>
        <w:bidi w:val="0"/>
        <w:adjustRightInd/>
        <w:spacing w:line="440" w:lineRule="exact"/>
        <w:ind w:firstLine="480" w:firstLineChars="200"/>
        <w:jc w:val="both"/>
        <w:textAlignment w:val="auto"/>
        <w:rPr>
          <w:rFonts w:hint="eastAsia" w:ascii="宋体" w:hAnsi="宋体" w:eastAsia="宋体" w:cs="宋体"/>
          <w:color w:val="auto"/>
          <w:sz w:val="30"/>
          <w:szCs w:val="30"/>
          <w:highlight w:val="none"/>
        </w:rPr>
      </w:pPr>
      <w:r>
        <w:rPr>
          <w:rFonts w:hint="eastAsia" w:ascii="宋体" w:hAnsi="宋体" w:eastAsia="宋体" w:cs="Times New Roman"/>
          <w:color w:val="auto"/>
          <w:sz w:val="24"/>
          <w:highlight w:val="none"/>
        </w:rPr>
        <w:t xml:space="preserve">工程进度款=已核定的实际完成工程量×招标人预算中的相应综合单价×（1－中标价降幅系数）×80%，其中中标价降幅系数=（工程预算价－中标价）÷工程预算价×100%。当工程款支付额达到实际完成的总工程价款的80%，暂停支付，预留20%作为工程尾款，待工程竣工（交工、完工）验收合格并审核结算后，再支付至工程结算总价的97%，余下的3%作为保修金，保修金支付按保修协议书执行。 </w:t>
      </w:r>
    </w:p>
    <w:p w14:paraId="2D2CD21E">
      <w:pPr>
        <w:snapToGrid w:val="0"/>
        <w:spacing w:line="380" w:lineRule="exact"/>
        <w:jc w:val="center"/>
        <w:rPr>
          <w:rFonts w:hint="eastAsia" w:ascii="宋体" w:hAnsi="宋体" w:eastAsia="宋体" w:cs="宋体"/>
          <w:color w:val="auto"/>
          <w:sz w:val="30"/>
          <w:szCs w:val="30"/>
          <w:highlight w:val="none"/>
        </w:rPr>
      </w:pPr>
    </w:p>
    <w:p w14:paraId="0F3CCA89">
      <w:pPr>
        <w:snapToGrid w:val="0"/>
        <w:spacing w:line="38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（七）重新招标和不再招标</w:t>
      </w:r>
    </w:p>
    <w:p w14:paraId="3D0C65D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 重新招标</w:t>
      </w:r>
    </w:p>
    <w:p w14:paraId="7974F1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有下列情形之一的，招标人将重新招标：</w:t>
      </w:r>
    </w:p>
    <w:p w14:paraId="49B430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（1）投标截止时间止，投标人少于3个或已递交投标保证金的投标人少于3个的；</w:t>
      </w:r>
    </w:p>
    <w:p w14:paraId="25B3E10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（2）若需延长投标有效期，同意延长的投标人少于3个的；</w:t>
      </w:r>
    </w:p>
    <w:p w14:paraId="40C921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（3）经资格审查后否决所有投标的；</w:t>
      </w:r>
    </w:p>
    <w:p w14:paraId="09B097F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（4）中标人不与招标人签订合同的；</w:t>
      </w:r>
    </w:p>
    <w:p w14:paraId="0B4CC0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kern w:val="0"/>
          <w:sz w:val="24"/>
          <w:highlight w:val="none"/>
        </w:rPr>
        <w:t>公示期内，经查询中标单位、法定代表人及项目负责人有行贿犯罪档案记录的。</w:t>
      </w:r>
    </w:p>
    <w:p w14:paraId="342929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 不再招标</w:t>
      </w:r>
    </w:p>
    <w:p w14:paraId="7EDFE0F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重新招标后，仍出现</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条规定情形之一的，属于必须审批或核准的水利工程建设项目，经原审批或核准部门批准后可以不再进行招标。</w:t>
      </w:r>
    </w:p>
    <w:p w14:paraId="2A33B447">
      <w:pPr>
        <w:snapToGrid w:val="0"/>
        <w:spacing w:line="440" w:lineRule="exact"/>
        <w:jc w:val="center"/>
        <w:rPr>
          <w:rFonts w:hint="eastAsia" w:ascii="宋体" w:hAnsi="宋体" w:eastAsia="宋体" w:cs="宋体"/>
          <w:color w:val="auto"/>
          <w:sz w:val="30"/>
          <w:szCs w:val="30"/>
          <w:highlight w:val="none"/>
        </w:rPr>
      </w:pPr>
    </w:p>
    <w:p w14:paraId="06692833">
      <w:pPr>
        <w:snapToGrid w:val="0"/>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（八）投诉处理</w:t>
      </w:r>
    </w:p>
    <w:p w14:paraId="2365EE20">
      <w:pPr>
        <w:pStyle w:val="14"/>
        <w:pageBreakBefore w:val="0"/>
        <w:kinsoku/>
        <w:wordWrap/>
        <w:overflowPunct/>
        <w:topLinePunct w:val="0"/>
        <w:autoSpaceDE/>
        <w:autoSpaceDN/>
        <w:bidi w:val="0"/>
        <w:adjustRightInd/>
        <w:spacing w:after="0" w:afterLines="0" w:line="440" w:lineRule="exact"/>
        <w:ind w:left="0" w:lef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cs="宋体"/>
          <w:b/>
          <w:bCs/>
          <w:color w:val="auto"/>
          <w:sz w:val="24"/>
          <w:szCs w:val="24"/>
          <w:highlight w:val="none"/>
          <w:lang w:val="en-US" w:eastAsia="zh-CN"/>
        </w:rPr>
        <w:t>30</w:t>
      </w:r>
      <w:r>
        <w:rPr>
          <w:rFonts w:hint="eastAsia" w:ascii="宋体" w:hAnsi="宋体" w:eastAsia="宋体" w:cs="宋体"/>
          <w:b/>
          <w:bCs/>
          <w:color w:val="auto"/>
          <w:sz w:val="24"/>
          <w:szCs w:val="24"/>
          <w:highlight w:val="none"/>
        </w:rPr>
        <w:t>.</w:t>
      </w: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lang w:eastAsia="zh-Hans"/>
        </w:rPr>
        <w:t>投诉处理</w:t>
      </w:r>
    </w:p>
    <w:p w14:paraId="28C4E1D6">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Hans"/>
        </w:rPr>
        <w:t>投标人对评标结果有异议的，应当在中标结果公示期内以书面形式向相关行政监督部门投诉</w:t>
      </w:r>
      <w:r>
        <w:rPr>
          <w:rFonts w:hint="eastAsia" w:ascii="宋体" w:hAnsi="宋体" w:eastAsia="宋体" w:cs="宋体"/>
          <w:bCs/>
          <w:color w:val="auto"/>
          <w:sz w:val="24"/>
          <w:highlight w:val="none"/>
          <w:lang w:eastAsia="zh-Hans"/>
        </w:rPr>
        <w:t>。</w:t>
      </w:r>
      <w:r>
        <w:rPr>
          <w:rFonts w:hint="eastAsia" w:ascii="宋体" w:hAnsi="宋体" w:eastAsia="宋体" w:cs="宋体"/>
          <w:color w:val="auto"/>
          <w:sz w:val="24"/>
          <w:highlight w:val="none"/>
          <w:lang w:eastAsia="zh-Hans"/>
        </w:rPr>
        <w:t>投诉书应当包括法律法规规定的必要内容。有以下情形之一的，相关行政监督部门不予受理。</w:t>
      </w:r>
    </w:p>
    <w:p w14:paraId="36DB1ADD">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1.1</w:t>
      </w:r>
      <w:r>
        <w:rPr>
          <w:rFonts w:hint="eastAsia" w:ascii="宋体" w:hAnsi="宋体" w:eastAsia="宋体" w:cs="宋体"/>
          <w:color w:val="auto"/>
          <w:sz w:val="24"/>
          <w:highlight w:val="none"/>
          <w:lang w:eastAsia="zh-Hans"/>
        </w:rPr>
        <w:t>超过公示期投诉的；</w:t>
      </w:r>
    </w:p>
    <w:p w14:paraId="60E4B70C">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1.2</w:t>
      </w:r>
      <w:r>
        <w:rPr>
          <w:rFonts w:hint="eastAsia" w:ascii="宋体" w:hAnsi="宋体" w:eastAsia="宋体" w:cs="宋体"/>
          <w:color w:val="auto"/>
          <w:sz w:val="24"/>
          <w:highlight w:val="none"/>
          <w:lang w:eastAsia="zh-Hans"/>
        </w:rPr>
        <w:t>没有提供有效线索和相关证明材料的；</w:t>
      </w:r>
    </w:p>
    <w:p w14:paraId="655763E7">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.1.3</w:t>
      </w:r>
      <w:r>
        <w:rPr>
          <w:rFonts w:hint="eastAsia" w:ascii="宋体" w:hAnsi="宋体" w:eastAsia="宋体" w:cs="宋体"/>
          <w:bCs/>
          <w:color w:val="auto"/>
          <w:sz w:val="24"/>
          <w:highlight w:val="none"/>
          <w:lang w:eastAsia="zh-Hans"/>
        </w:rPr>
        <w:t>没有参与</w:t>
      </w:r>
      <w:r>
        <w:rPr>
          <w:rFonts w:hint="eastAsia" w:ascii="宋体" w:hAnsi="宋体" w:eastAsia="宋体" w:cs="宋体"/>
          <w:bCs/>
          <w:color w:val="auto"/>
          <w:sz w:val="24"/>
          <w:highlight w:val="none"/>
        </w:rPr>
        <w:t>此次</w:t>
      </w:r>
      <w:r>
        <w:rPr>
          <w:rFonts w:hint="eastAsia" w:ascii="宋体" w:hAnsi="宋体" w:eastAsia="宋体" w:cs="宋体"/>
          <w:bCs/>
          <w:color w:val="auto"/>
          <w:sz w:val="24"/>
          <w:highlight w:val="none"/>
          <w:lang w:eastAsia="zh-Hans"/>
        </w:rPr>
        <w:t>投标活动或无法证明与投标活动有利害关系的其他人员或组织投诉的；</w:t>
      </w:r>
    </w:p>
    <w:p w14:paraId="3CB5A9F3">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1.4</w:t>
      </w:r>
      <w:r>
        <w:rPr>
          <w:rFonts w:hint="eastAsia" w:ascii="宋体" w:hAnsi="宋体" w:eastAsia="宋体" w:cs="宋体"/>
          <w:bCs/>
          <w:color w:val="auto"/>
          <w:sz w:val="24"/>
          <w:highlight w:val="none"/>
          <w:lang w:eastAsia="zh-Hans"/>
        </w:rPr>
        <w:t>投诉书采用邮寄，而不是从投标人企业所在地寄出的，或采取专人递送，而递送人不是投标</w:t>
      </w:r>
      <w:r>
        <w:rPr>
          <w:rFonts w:hint="eastAsia" w:ascii="宋体" w:hAnsi="宋体" w:eastAsia="宋体" w:cs="宋体"/>
          <w:bCs/>
          <w:color w:val="auto"/>
          <w:sz w:val="24"/>
          <w:highlight w:val="none"/>
        </w:rPr>
        <w:t>人授权委托人的</w:t>
      </w:r>
      <w:r>
        <w:rPr>
          <w:rFonts w:hint="eastAsia" w:ascii="宋体" w:hAnsi="宋体" w:eastAsia="宋体" w:cs="宋体"/>
          <w:bCs/>
          <w:color w:val="auto"/>
          <w:sz w:val="24"/>
          <w:highlight w:val="none"/>
          <w:lang w:eastAsia="zh-Hans"/>
        </w:rPr>
        <w:t>（需持投标</w:t>
      </w:r>
      <w:r>
        <w:rPr>
          <w:rFonts w:hint="eastAsia" w:ascii="宋体" w:hAnsi="宋体" w:eastAsia="宋体" w:cs="宋体"/>
          <w:bCs/>
          <w:color w:val="auto"/>
          <w:sz w:val="24"/>
          <w:highlight w:val="none"/>
        </w:rPr>
        <w:t>人</w:t>
      </w:r>
      <w:r>
        <w:rPr>
          <w:rFonts w:hint="eastAsia" w:ascii="宋体" w:hAnsi="宋体" w:eastAsia="宋体" w:cs="宋体"/>
          <w:bCs/>
          <w:color w:val="auto"/>
          <w:sz w:val="24"/>
          <w:highlight w:val="none"/>
          <w:lang w:eastAsia="zh-Hans"/>
        </w:rPr>
        <w:t>授权委托书及</w:t>
      </w:r>
      <w:r>
        <w:rPr>
          <w:rFonts w:hint="eastAsia" w:ascii="宋体" w:hAnsi="宋体" w:eastAsia="宋体" w:cs="宋体"/>
          <w:bCs/>
          <w:color w:val="auto"/>
          <w:sz w:val="24"/>
          <w:highlight w:val="none"/>
        </w:rPr>
        <w:t>有效</w:t>
      </w:r>
      <w:r>
        <w:rPr>
          <w:rFonts w:hint="eastAsia" w:ascii="宋体" w:hAnsi="宋体" w:eastAsia="宋体" w:cs="宋体"/>
          <w:bCs/>
          <w:color w:val="auto"/>
          <w:sz w:val="24"/>
          <w:highlight w:val="none"/>
          <w:lang w:eastAsia="zh-Hans"/>
        </w:rPr>
        <w:t>身份</w:t>
      </w:r>
      <w:r>
        <w:rPr>
          <w:rFonts w:hint="eastAsia" w:ascii="宋体" w:hAnsi="宋体" w:eastAsia="宋体" w:cs="宋体"/>
          <w:bCs/>
          <w:color w:val="auto"/>
          <w:sz w:val="24"/>
          <w:highlight w:val="none"/>
        </w:rPr>
        <w:t>证件复印件</w:t>
      </w:r>
      <w:r>
        <w:rPr>
          <w:rFonts w:hint="eastAsia" w:ascii="宋体" w:hAnsi="宋体" w:eastAsia="宋体" w:cs="宋体"/>
          <w:bCs/>
          <w:color w:val="auto"/>
          <w:sz w:val="24"/>
          <w:highlight w:val="none"/>
          <w:lang w:eastAsia="zh-Hans"/>
        </w:rPr>
        <w:t>）；</w:t>
      </w:r>
    </w:p>
    <w:p w14:paraId="3C725939">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bCs/>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1.5</w:t>
      </w:r>
      <w:r>
        <w:rPr>
          <w:rFonts w:hint="eastAsia" w:ascii="宋体" w:hAnsi="宋体" w:eastAsia="宋体" w:cs="宋体"/>
          <w:bCs/>
          <w:color w:val="auto"/>
          <w:sz w:val="24"/>
          <w:highlight w:val="none"/>
          <w:lang w:eastAsia="zh-Hans"/>
        </w:rPr>
        <w:t>法律法规规定其他不予受理的情形的。</w:t>
      </w:r>
    </w:p>
    <w:p w14:paraId="5B94B289">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Hans"/>
        </w:rPr>
        <w:t>投诉件受理后，相关行政监督部门应当听取被投诉人的陈述和申辩，必要时可通知投诉人代表进行质证。投诉人代表在规定期限内未接受质证的，有关行政监督部门视为投诉人自动放弃投诉。</w:t>
      </w:r>
    </w:p>
    <w:p w14:paraId="2936035F">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Hans"/>
        </w:rPr>
        <w:t>投诉人存在故意捏造事实，伪造证明材料、法人公章、法定代表人签字和私章等行为投诉的，由行政监督部门记入不良行为</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Hans"/>
        </w:rPr>
        <w:t>次。给他人造成损失的，应当赔偿损失。情节严重的，由相关行政监督部门依法依规予以处理。</w:t>
      </w:r>
    </w:p>
    <w:p w14:paraId="11991781">
      <w:pPr>
        <w:pageBreakBefore w:val="0"/>
        <w:widowControl/>
        <w:kinsoku/>
        <w:wordWrap/>
        <w:overflowPunct/>
        <w:topLinePunct w:val="0"/>
        <w:autoSpaceDE/>
        <w:autoSpaceDN/>
        <w:bidi w:val="0"/>
        <w:adjustRightInd/>
        <w:snapToGrid w:val="0"/>
        <w:spacing w:line="440" w:lineRule="exact"/>
        <w:ind w:firstLine="480" w:firstLineChars="200"/>
        <w:jc w:val="both"/>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Hans"/>
        </w:rPr>
        <w:t>行政监督部门应当在自受理投诉之日起</w:t>
      </w:r>
      <w:r>
        <w:rPr>
          <w:rFonts w:hint="eastAsia" w:ascii="宋体" w:hAnsi="宋体" w:eastAsia="宋体" w:cs="宋体"/>
          <w:color w:val="auto"/>
          <w:sz w:val="24"/>
          <w:highlight w:val="none"/>
        </w:rPr>
        <w:t>15</w:t>
      </w:r>
      <w:r>
        <w:rPr>
          <w:rFonts w:hint="eastAsia" w:ascii="宋体" w:hAnsi="宋体" w:eastAsia="宋体" w:cs="宋体"/>
          <w:color w:val="auto"/>
          <w:sz w:val="24"/>
          <w:highlight w:val="none"/>
          <w:lang w:eastAsia="zh-Hans"/>
        </w:rPr>
        <w:t>日内，对投诉事项做出处理决定，并以书面形式通知投诉人、被投诉人和其他与投诉处理结果有关的当事人</w:t>
      </w:r>
      <w:r>
        <w:rPr>
          <w:rFonts w:hint="eastAsia" w:ascii="宋体" w:hAnsi="宋体" w:eastAsia="宋体" w:cs="宋体"/>
          <w:color w:val="auto"/>
          <w:sz w:val="24"/>
          <w:highlight w:val="none"/>
        </w:rPr>
        <w:t>。</w:t>
      </w:r>
    </w:p>
    <w:p w14:paraId="6BF922DC">
      <w:pPr>
        <w:pStyle w:val="20"/>
        <w:rPr>
          <w:rFonts w:hint="eastAsia" w:ascii="宋体" w:hAnsi="宋体" w:cs="宋体"/>
          <w:color w:val="auto"/>
          <w:sz w:val="24"/>
          <w:highlight w:val="none"/>
        </w:rPr>
      </w:pPr>
      <w:r>
        <w:rPr>
          <w:rFonts w:hint="eastAsia" w:ascii="宋体" w:hAnsi="宋体" w:cs="宋体"/>
          <w:color w:val="auto"/>
          <w:sz w:val="24"/>
          <w:highlight w:val="none"/>
        </w:rPr>
        <w:br w:type="page"/>
      </w:r>
    </w:p>
    <w:p w14:paraId="01F5DD66">
      <w:pPr>
        <w:numPr>
          <w:ilvl w:val="0"/>
          <w:numId w:val="2"/>
        </w:numPr>
        <w:spacing w:line="560" w:lineRule="exact"/>
        <w:ind w:left="1455" w:hanging="1455"/>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合同条款</w:t>
      </w:r>
    </w:p>
    <w:p w14:paraId="713C9BAE">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720" w:firstLineChars="200"/>
        <w:jc w:val="center"/>
        <w:textAlignment w:val="auto"/>
        <w:rPr>
          <w:rFonts w:hint="eastAsia" w:ascii="宋体" w:hAnsi="宋体" w:eastAsia="宋体" w:cs="Times New Roman"/>
          <w:color w:val="auto"/>
          <w:kern w:val="0"/>
          <w:sz w:val="36"/>
          <w:szCs w:val="36"/>
          <w:highlight w:val="none"/>
          <w:lang w:val="en-US" w:eastAsia="zh-CN" w:bidi="ar-SA"/>
        </w:rPr>
      </w:pPr>
      <w:bookmarkStart w:id="8" w:name="_Toc256000190"/>
      <w:bookmarkStart w:id="9" w:name="_Toc256000088"/>
      <w:r>
        <w:rPr>
          <w:rFonts w:hint="eastAsia" w:ascii="宋体" w:hAnsi="宋体" w:eastAsia="宋体" w:cs="Times New Roman"/>
          <w:color w:val="auto"/>
          <w:kern w:val="0"/>
          <w:sz w:val="36"/>
          <w:szCs w:val="36"/>
          <w:highlight w:val="none"/>
          <w:lang w:val="en-US" w:eastAsia="zh-CN" w:bidi="ar-SA"/>
        </w:rPr>
        <w:t xml:space="preserve"> </w:t>
      </w:r>
    </w:p>
    <w:p w14:paraId="0DCD79A6">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2880" w:firstLineChars="800"/>
        <w:jc w:val="both"/>
        <w:textAlignment w:val="auto"/>
        <w:rPr>
          <w:rFonts w:hint="eastAsia" w:ascii="宋体" w:hAnsi="宋体" w:eastAsia="宋体"/>
          <w:color w:val="auto"/>
          <w:sz w:val="36"/>
          <w:szCs w:val="36"/>
          <w:highlight w:val="none"/>
        </w:rPr>
      </w:pPr>
      <w:r>
        <w:rPr>
          <w:rFonts w:hint="eastAsia" w:ascii="宋体" w:hAnsi="宋体" w:eastAsia="宋体" w:cs="Times New Roman"/>
          <w:color w:val="auto"/>
          <w:kern w:val="0"/>
          <w:sz w:val="36"/>
          <w:szCs w:val="36"/>
          <w:highlight w:val="none"/>
          <w:lang w:val="en-US" w:eastAsia="zh-CN" w:bidi="ar-SA"/>
        </w:rPr>
        <w:t>第一节</w:t>
      </w:r>
      <w:r>
        <w:rPr>
          <w:rFonts w:hint="eastAsia" w:ascii="宋体" w:hAnsi="宋体" w:eastAsia="宋体"/>
          <w:color w:val="auto"/>
          <w:sz w:val="36"/>
          <w:szCs w:val="36"/>
          <w:highlight w:val="none"/>
        </w:rPr>
        <w:t>通用合同条款</w:t>
      </w:r>
      <w:bookmarkEnd w:id="8"/>
      <w:bookmarkEnd w:id="9"/>
    </w:p>
    <w:p w14:paraId="3FC07142">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【注：本通用合同条款引用中华人民共和国水利部《水利水电工程标准施工招标文件》（2009年版）通用合同条款。】</w:t>
      </w:r>
    </w:p>
    <w:p w14:paraId="7A5F310C">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2880" w:firstLineChars="800"/>
        <w:jc w:val="both"/>
        <w:textAlignment w:val="auto"/>
        <w:rPr>
          <w:rFonts w:hint="eastAsia" w:ascii="宋体" w:hAnsi="宋体" w:eastAsia="宋体"/>
          <w:color w:val="auto"/>
          <w:sz w:val="36"/>
          <w:szCs w:val="36"/>
          <w:highlight w:val="none"/>
        </w:rPr>
      </w:pPr>
    </w:p>
    <w:p w14:paraId="7B711132">
      <w:pPr>
        <w:pStyle w:val="4"/>
        <w:pageBreakBefore/>
        <w:adjustRightInd w:val="0"/>
        <w:snapToGrid w:val="0"/>
        <w:spacing w:before="0" w:after="0" w:line="520" w:lineRule="exact"/>
        <w:jc w:val="center"/>
        <w:rPr>
          <w:rFonts w:ascii="宋体" w:hAnsi="宋体" w:eastAsia="宋体" w:cs="Times New Roman"/>
          <w:color w:val="auto"/>
          <w:sz w:val="36"/>
          <w:szCs w:val="36"/>
          <w:highlight w:val="none"/>
        </w:rPr>
      </w:pPr>
      <w:bookmarkStart w:id="10" w:name="_Toc256000225"/>
      <w:bookmarkStart w:id="11" w:name="_Toc256000154"/>
      <w:r>
        <w:rPr>
          <w:rFonts w:hint="eastAsia" w:ascii="宋体" w:hAnsi="宋体" w:eastAsia="宋体" w:cs="Times New Roman"/>
          <w:color w:val="auto"/>
          <w:sz w:val="36"/>
          <w:szCs w:val="36"/>
          <w:highlight w:val="none"/>
        </w:rPr>
        <w:t>第二节 专用合同条款</w:t>
      </w:r>
      <w:bookmarkEnd w:id="10"/>
      <w:bookmarkEnd w:id="11"/>
    </w:p>
    <w:p w14:paraId="7BAA7675">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p>
    <w:p w14:paraId="4743F71A">
      <w:pPr>
        <w:widowControl/>
        <w:shd w:val="clear" w:color="auto" w:fill="FFFFFF"/>
        <w:snapToGrid w:val="0"/>
        <w:spacing w:line="520" w:lineRule="exact"/>
        <w:ind w:firstLine="422" w:firstLineChars="200"/>
        <w:jc w:val="left"/>
        <w:rPr>
          <w:rFonts w:hint="eastAsia" w:ascii="宋体" w:hAnsi="宋体" w:eastAsia="宋体" w:cs="宋体"/>
          <w:b/>
          <w:color w:val="auto"/>
          <w:kern w:val="0"/>
          <w:sz w:val="24"/>
          <w:szCs w:val="24"/>
          <w:highlight w:val="none"/>
          <w:lang w:val="en-US" w:eastAsia="zh-CN" w:bidi="ar-SA"/>
        </w:rPr>
      </w:pPr>
      <w:r>
        <w:rPr>
          <w:rFonts w:hint="eastAsia" w:ascii="宋体" w:hAnsi="宋体" w:eastAsia="宋体" w:cs="Times New Roman"/>
          <w:b/>
          <w:color w:val="auto"/>
          <w:szCs w:val="21"/>
          <w:highlight w:val="none"/>
        </w:rPr>
        <w:t>【注：专用合同条款是补充、细化通用合同条款款号相同或当需要时增加新的条款，除通用合同条款明确规定可以作出不同约定外，专用合同条款补充和细化的内容不得与通用合同条款相抵触，不得违反法律、行政法规的强制性规定，以及平等、自愿、公平和诚实信用原则。】</w:t>
      </w:r>
    </w:p>
    <w:p w14:paraId="54352E47">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本招标项目专用合同条款如下：</w:t>
      </w:r>
    </w:p>
    <w:p w14:paraId="20F7C1C2">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12" w:name="_Toc222029527"/>
      <w:bookmarkStart w:id="13" w:name="_Toc256000127"/>
      <w:bookmarkStart w:id="14" w:name="_Toc515441161"/>
      <w:bookmarkStart w:id="15" w:name="_Toc256000107"/>
      <w:bookmarkStart w:id="16" w:name="_Toc16049"/>
      <w:bookmarkStart w:id="17" w:name="_Toc222032696"/>
      <w:bookmarkStart w:id="18" w:name="_Toc256000155"/>
      <w:bookmarkStart w:id="19" w:name="_Toc30320"/>
      <w:bookmarkStart w:id="20" w:name="_Toc487489975"/>
      <w:bookmarkStart w:id="21" w:name="_Toc221951111"/>
      <w:bookmarkStart w:id="22" w:name="_Toc516816164"/>
      <w:bookmarkStart w:id="23" w:name="_Toc7185606"/>
      <w:bookmarkStart w:id="24" w:name="_Toc222033878"/>
      <w:bookmarkStart w:id="25" w:name="_Toc222031029"/>
      <w:bookmarkStart w:id="26" w:name="_Toc5025"/>
      <w:bookmarkStart w:id="27" w:name="_Toc35605765"/>
      <w:bookmarkStart w:id="28" w:name="_Toc511635979"/>
      <w:bookmarkStart w:id="29" w:name="_Toc256000226"/>
      <w:bookmarkStart w:id="30" w:name="_Toc229305387"/>
      <w:r>
        <w:rPr>
          <w:rFonts w:hint="eastAsia" w:ascii="宋体" w:hAnsi="宋体" w:eastAsia="宋体" w:cs="Times New Roman"/>
          <w:b/>
          <w:bCs/>
          <w:color w:val="auto"/>
          <w:sz w:val="28"/>
          <w:szCs w:val="28"/>
          <w:highlight w:val="none"/>
        </w:rPr>
        <w:t>1</w:t>
      </w:r>
      <w:bookmarkStart w:id="31" w:name="_Hlk112349219"/>
      <w:r>
        <w:rPr>
          <w:rFonts w:hint="eastAsia" w:ascii="宋体" w:hAnsi="宋体" w:eastAsia="宋体" w:cs="Times New Roman"/>
          <w:b/>
          <w:bCs/>
          <w:color w:val="auto"/>
          <w:sz w:val="28"/>
          <w:szCs w:val="28"/>
          <w:highlight w:val="none"/>
        </w:rPr>
        <w:t xml:space="preserve"> 一般约定</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71205B3A">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32" w:name="_Toc511635980"/>
      <w:bookmarkStart w:id="33" w:name="_Toc262659526"/>
      <w:bookmarkStart w:id="34" w:name="_Toc221951112"/>
      <w:bookmarkStart w:id="35" w:name="_Toc262637965"/>
      <w:bookmarkStart w:id="36" w:name="_Toc221951113"/>
      <w:r>
        <w:rPr>
          <w:rFonts w:ascii="宋体" w:hAnsi="宋体" w:eastAsia="宋体" w:cs="Times New Roman"/>
          <w:b/>
          <w:bCs/>
          <w:color w:val="auto"/>
          <w:sz w:val="28"/>
          <w:szCs w:val="28"/>
          <w:highlight w:val="none"/>
        </w:rPr>
        <w:t>1.1</w:t>
      </w:r>
      <w:r>
        <w:rPr>
          <w:rFonts w:hint="eastAsia" w:ascii="宋体" w:hAnsi="宋体" w:eastAsia="宋体" w:cs="Times New Roman"/>
          <w:b/>
          <w:bCs/>
          <w:color w:val="auto"/>
          <w:sz w:val="28"/>
          <w:szCs w:val="28"/>
          <w:highlight w:val="none"/>
        </w:rPr>
        <w:t xml:space="preserve"> 词语定义</w:t>
      </w:r>
      <w:bookmarkEnd w:id="32"/>
      <w:bookmarkEnd w:id="33"/>
      <w:bookmarkEnd w:id="34"/>
      <w:bookmarkEnd w:id="35"/>
    </w:p>
    <w:p w14:paraId="6E96CC71">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37" w:name="_Toc262637966"/>
      <w:bookmarkStart w:id="38" w:name="_Toc262659527"/>
      <w:r>
        <w:rPr>
          <w:rFonts w:hint="eastAsia" w:ascii="宋体" w:hAnsi="宋体" w:eastAsia="宋体" w:cs="Times New Roman"/>
          <w:color w:val="auto"/>
          <w:szCs w:val="21"/>
          <w:highlight w:val="none"/>
        </w:rPr>
        <w:t>1.1.2 合同当事人和人员</w:t>
      </w:r>
      <w:bookmarkEnd w:id="36"/>
      <w:bookmarkEnd w:id="37"/>
      <w:bookmarkEnd w:id="38"/>
    </w:p>
    <w:p w14:paraId="23F158D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39" w:name="_Toc262637967"/>
      <w:bookmarkStart w:id="40" w:name="_Toc262659528"/>
      <w:bookmarkStart w:id="41" w:name="_Toc221951114"/>
      <w:r>
        <w:rPr>
          <w:rFonts w:hint="eastAsia" w:ascii="宋体" w:hAnsi="宋体" w:eastAsia="宋体" w:cs="Times New Roman"/>
          <w:color w:val="auto"/>
          <w:szCs w:val="21"/>
          <w:highlight w:val="none"/>
        </w:rPr>
        <w:t>1.1.2.2 发包人：</w:t>
      </w:r>
      <w:bookmarkEnd w:id="39"/>
      <w:bookmarkEnd w:id="40"/>
      <w:bookmarkEnd w:id="41"/>
      <w:r>
        <w:rPr>
          <w:rFonts w:hint="eastAsia" w:ascii="宋体" w:hAnsi="宋体" w:eastAsia="宋体" w:cs="Times New Roman"/>
          <w:color w:val="auto"/>
          <w:szCs w:val="21"/>
          <w:highlight w:val="none"/>
        </w:rPr>
        <w:t>_____________________________</w:t>
      </w:r>
    </w:p>
    <w:p w14:paraId="5046E166">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2" w:name="_Toc262659529"/>
      <w:bookmarkStart w:id="43" w:name="_Toc221951115"/>
      <w:bookmarkStart w:id="44" w:name="_Toc262637968"/>
      <w:r>
        <w:rPr>
          <w:rFonts w:hint="eastAsia" w:ascii="宋体" w:hAnsi="宋体" w:eastAsia="宋体" w:cs="Times New Roman"/>
          <w:color w:val="auto"/>
          <w:szCs w:val="21"/>
          <w:highlight w:val="none"/>
        </w:rPr>
        <w:t>1.1.2.3 承包人：</w:t>
      </w:r>
      <w:bookmarkEnd w:id="42"/>
      <w:bookmarkEnd w:id="43"/>
      <w:bookmarkEnd w:id="44"/>
      <w:r>
        <w:rPr>
          <w:rFonts w:hint="eastAsia" w:ascii="宋体" w:hAnsi="宋体" w:eastAsia="宋体" w:cs="Times New Roman"/>
          <w:color w:val="auto"/>
          <w:szCs w:val="21"/>
          <w:highlight w:val="none"/>
        </w:rPr>
        <w:t>_____________________________</w:t>
      </w:r>
    </w:p>
    <w:p w14:paraId="6F145C1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5" w:name="_Toc262659530"/>
      <w:bookmarkStart w:id="46" w:name="_Toc221951116"/>
      <w:bookmarkStart w:id="47" w:name="_Toc262637969"/>
      <w:r>
        <w:rPr>
          <w:rFonts w:hint="eastAsia" w:ascii="宋体" w:hAnsi="宋体" w:eastAsia="宋体" w:cs="Times New Roman"/>
          <w:color w:val="auto"/>
          <w:szCs w:val="21"/>
          <w:highlight w:val="none"/>
        </w:rPr>
        <w:t>1.1.2.5 分包人：</w:t>
      </w:r>
      <w:bookmarkEnd w:id="45"/>
      <w:bookmarkEnd w:id="46"/>
      <w:bookmarkEnd w:id="47"/>
      <w:r>
        <w:rPr>
          <w:rFonts w:hint="eastAsia" w:ascii="宋体" w:hAnsi="宋体" w:eastAsia="宋体" w:cs="Times New Roman"/>
          <w:color w:val="auto"/>
          <w:szCs w:val="21"/>
          <w:highlight w:val="none"/>
        </w:rPr>
        <w:t>_____________________________</w:t>
      </w:r>
    </w:p>
    <w:p w14:paraId="6EBA2E3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8" w:name="_Toc262637970"/>
      <w:bookmarkStart w:id="49" w:name="_Toc262659531"/>
      <w:bookmarkStart w:id="50" w:name="_Toc221951117"/>
      <w:r>
        <w:rPr>
          <w:rFonts w:hint="eastAsia" w:ascii="宋体" w:hAnsi="宋体" w:eastAsia="宋体" w:cs="Times New Roman"/>
          <w:color w:val="auto"/>
          <w:szCs w:val="21"/>
          <w:highlight w:val="none"/>
        </w:rPr>
        <w:t>1.1.2.6 监理人：</w:t>
      </w:r>
      <w:bookmarkEnd w:id="48"/>
      <w:bookmarkEnd w:id="49"/>
      <w:bookmarkEnd w:id="50"/>
      <w:r>
        <w:rPr>
          <w:rFonts w:hint="eastAsia" w:ascii="宋体" w:hAnsi="宋体" w:eastAsia="宋体" w:cs="Times New Roman"/>
          <w:color w:val="auto"/>
          <w:szCs w:val="21"/>
          <w:highlight w:val="none"/>
        </w:rPr>
        <w:t>_____________________________</w:t>
      </w:r>
    </w:p>
    <w:p w14:paraId="2EAAA481">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51" w:name="_Toc262659532"/>
      <w:bookmarkStart w:id="52" w:name="_Toc221951125"/>
      <w:bookmarkStart w:id="53" w:name="_Toc262637971"/>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4 </w:t>
      </w:r>
      <w:r>
        <w:rPr>
          <w:rFonts w:hint="eastAsia" w:ascii="宋体" w:hAnsi="宋体" w:eastAsia="宋体" w:cs="Times New Roman"/>
          <w:color w:val="auto"/>
          <w:szCs w:val="21"/>
          <w:highlight w:val="none"/>
        </w:rPr>
        <w:t>日期</w:t>
      </w:r>
      <w:bookmarkEnd w:id="51"/>
      <w:bookmarkEnd w:id="52"/>
      <w:bookmarkEnd w:id="53"/>
    </w:p>
    <w:p w14:paraId="6FB3256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.3 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日历天（其中各关键节点的工期：/）</w:t>
      </w:r>
    </w:p>
    <w:p w14:paraId="4BFCC912">
      <w:pPr>
        <w:widowControl/>
        <w:shd w:val="clear" w:color="auto" w:fill="FFFFFF"/>
        <w:snapToGrid w:val="0"/>
        <w:spacing w:line="520" w:lineRule="exact"/>
        <w:ind w:firstLine="420" w:firstLineChars="200"/>
        <w:jc w:val="left"/>
        <w:rPr>
          <w:rFonts w:hint="eastAsia" w:ascii="宋体" w:hAnsi="宋体" w:eastAsia="宋体" w:cs="Times New Roman"/>
          <w:color w:val="auto"/>
          <w:szCs w:val="21"/>
          <w:highlight w:val="none"/>
        </w:rPr>
      </w:pPr>
      <w:bookmarkStart w:id="54" w:name="_Toc262659533"/>
      <w:bookmarkStart w:id="55" w:name="_Toc262637972"/>
      <w:bookmarkStart w:id="56" w:name="_Toc221951126"/>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 xml:space="preserve"> 缺陷责任期（工程质量保修期）：</w:t>
      </w:r>
      <w:bookmarkEnd w:id="54"/>
      <w:bookmarkEnd w:id="55"/>
      <w:bookmarkEnd w:id="56"/>
      <w:bookmarkStart w:id="57" w:name="_Toc221951127"/>
      <w:r>
        <w:rPr>
          <w:rFonts w:hint="eastAsia" w:ascii="宋体" w:hAnsi="宋体" w:eastAsia="宋体" w:cs="宋体"/>
          <w:color w:val="auto"/>
          <w:szCs w:val="21"/>
          <w:highlight w:val="none"/>
          <w:u w:val="single"/>
          <w:lang w:val="en-US" w:eastAsia="zh-CN"/>
        </w:rPr>
        <w:t>水生植物</w:t>
      </w:r>
      <w:r>
        <w:rPr>
          <w:rFonts w:hint="eastAsia" w:ascii="宋体" w:hAnsi="宋体" w:eastAsia="宋体" w:cs="宋体"/>
          <w:color w:val="auto"/>
          <w:szCs w:val="21"/>
          <w:highlight w:val="none"/>
          <w:u w:val="single"/>
        </w:rPr>
        <w:t>种植工程养护期为完工验收合格之日起</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年，其他工程通过完工验收合格之日算起 24 个月</w:t>
      </w:r>
      <w:r>
        <w:rPr>
          <w:rFonts w:hint="eastAsia" w:ascii="宋体" w:hAnsi="宋体" w:eastAsia="宋体" w:cs="Times New Roman"/>
          <w:color w:val="auto"/>
          <w:szCs w:val="21"/>
          <w:highlight w:val="none"/>
        </w:rPr>
        <w:t>。</w:t>
      </w:r>
    </w:p>
    <w:p w14:paraId="2D6A2D77">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58" w:name="_Toc262637973"/>
      <w:bookmarkStart w:id="59" w:name="_Toc511635981"/>
      <w:bookmarkStart w:id="60" w:name="_Toc262659534"/>
      <w:r>
        <w:rPr>
          <w:rFonts w:hint="eastAsia" w:ascii="宋体" w:hAnsi="宋体" w:eastAsia="宋体" w:cs="Times New Roman"/>
          <w:b/>
          <w:bCs/>
          <w:color w:val="auto"/>
          <w:sz w:val="28"/>
          <w:szCs w:val="28"/>
          <w:highlight w:val="none"/>
        </w:rPr>
        <w:t>1.4合同文件的优先顺序</w:t>
      </w:r>
      <w:bookmarkEnd w:id="57"/>
      <w:bookmarkEnd w:id="58"/>
      <w:bookmarkEnd w:id="59"/>
      <w:bookmarkEnd w:id="60"/>
    </w:p>
    <w:p w14:paraId="2F2F11A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61" w:name="_Toc262637974"/>
      <w:bookmarkStart w:id="62" w:name="_Toc262659535"/>
      <w:r>
        <w:rPr>
          <w:rFonts w:hint="eastAsia" w:ascii="宋体" w:hAnsi="宋体" w:eastAsia="宋体" w:cs="Times New Roman"/>
          <w:color w:val="auto"/>
          <w:szCs w:val="21"/>
          <w:highlight w:val="none"/>
        </w:rPr>
        <w:t>进入合同文件的各项文件及其优先顺序是</w:t>
      </w:r>
      <w:r>
        <w:rPr>
          <w:rFonts w:hint="eastAsia" w:ascii="宋体" w:hAnsi="宋体" w:eastAsia="宋体" w:cs="Times New Roman"/>
          <w:color w:val="auto"/>
          <w:szCs w:val="22"/>
          <w:highlight w:val="none"/>
          <w:u w:val="single"/>
        </w:rPr>
        <w:t xml:space="preserve">除合同另有规定外，解释进入合同文件的各项文件及其优先顺序如下：⑴协议书（包括补充协议）；⑵中标通知书；⑶投标报价书；⑷投标函及投标函附录；⑸专用合同条款；⑹通用合同条款；⑺技术标准和要求（合同技术条款）；⑻答疑纪要；⑼招标文件；⑽图纸；⑾已标价工程量清单；⑿其他合同文件 </w:t>
      </w:r>
      <w:r>
        <w:rPr>
          <w:rFonts w:hint="eastAsia" w:ascii="宋体" w:hAnsi="宋体" w:eastAsia="宋体" w:cs="Times New Roman"/>
          <w:color w:val="auto"/>
          <w:szCs w:val="21"/>
          <w:highlight w:val="none"/>
        </w:rPr>
        <w:t>。</w:t>
      </w:r>
      <w:bookmarkEnd w:id="61"/>
      <w:bookmarkEnd w:id="62"/>
      <w:bookmarkStart w:id="63" w:name="_Toc221951129"/>
    </w:p>
    <w:p w14:paraId="7D926E36">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64" w:name="_Toc262637975"/>
      <w:bookmarkStart w:id="65" w:name="_Toc511635982"/>
      <w:bookmarkStart w:id="66" w:name="_Toc262659536"/>
      <w:r>
        <w:rPr>
          <w:rFonts w:hint="eastAsia" w:ascii="宋体" w:hAnsi="宋体" w:eastAsia="宋体" w:cs="Times New Roman"/>
          <w:b/>
          <w:bCs/>
          <w:color w:val="auto"/>
          <w:sz w:val="28"/>
          <w:szCs w:val="28"/>
          <w:highlight w:val="none"/>
        </w:rPr>
        <w:t>1.7联络</w:t>
      </w:r>
      <w:bookmarkEnd w:id="63"/>
      <w:bookmarkEnd w:id="64"/>
      <w:bookmarkEnd w:id="65"/>
      <w:bookmarkEnd w:id="66"/>
    </w:p>
    <w:p w14:paraId="308EA60D">
      <w:pPr>
        <w:adjustRightInd w:val="0"/>
        <w:snapToGrid w:val="0"/>
        <w:spacing w:line="440" w:lineRule="exact"/>
        <w:ind w:firstLine="420" w:firstLineChars="200"/>
        <w:rPr>
          <w:rFonts w:hint="eastAsia" w:ascii="宋体" w:hAnsi="宋体" w:eastAsia="宋体" w:cs="宋体"/>
          <w:color w:val="auto"/>
          <w:szCs w:val="21"/>
          <w:highlight w:val="none"/>
        </w:rPr>
      </w:pPr>
      <w:bookmarkStart w:id="67" w:name="_Toc515441162"/>
      <w:bookmarkStart w:id="68" w:name="_Toc7185607"/>
      <w:bookmarkStart w:id="69" w:name="_Toc256000128"/>
      <w:bookmarkStart w:id="70" w:name="_Toc221951131"/>
      <w:bookmarkStart w:id="71" w:name="_Toc31125"/>
      <w:bookmarkStart w:id="72" w:name="_Toc487489976"/>
      <w:bookmarkStart w:id="73" w:name="_Toc516816165"/>
      <w:bookmarkStart w:id="74" w:name="_Toc256000108"/>
      <w:bookmarkStart w:id="75" w:name="_Toc222031030"/>
      <w:bookmarkStart w:id="76" w:name="_Toc511635983"/>
      <w:bookmarkStart w:id="77" w:name="_Toc229305388"/>
      <w:bookmarkStart w:id="78" w:name="_Toc222029528"/>
      <w:bookmarkStart w:id="79" w:name="_Toc35605766"/>
      <w:bookmarkStart w:id="80" w:name="_Toc222033879"/>
      <w:bookmarkStart w:id="81" w:name="_Toc222032697"/>
      <w:r>
        <w:rPr>
          <w:rFonts w:hint="eastAsia" w:ascii="宋体" w:hAnsi="宋体" w:eastAsia="宋体" w:cs="宋体"/>
          <w:color w:val="auto"/>
          <w:szCs w:val="21"/>
          <w:highlight w:val="none"/>
          <w:lang w:bidi="ar"/>
        </w:rPr>
        <w:t>发包人向承包人提供的前期资料及数量：</w:t>
      </w:r>
      <w:r>
        <w:rPr>
          <w:rFonts w:hint="eastAsia" w:ascii="宋体" w:hAnsi="宋体" w:eastAsia="宋体" w:cs="宋体"/>
          <w:color w:val="auto"/>
          <w:szCs w:val="21"/>
          <w:highlight w:val="none"/>
          <w:u w:val="single"/>
          <w:lang w:bidi="ar"/>
        </w:rPr>
        <w:t>1套</w:t>
      </w:r>
      <w:r>
        <w:rPr>
          <w:rFonts w:hint="eastAsia" w:ascii="宋体" w:hAnsi="宋体" w:eastAsia="宋体" w:cs="宋体"/>
          <w:color w:val="auto"/>
          <w:szCs w:val="21"/>
          <w:highlight w:val="none"/>
          <w:lang w:bidi="ar"/>
        </w:rPr>
        <w:t>。</w:t>
      </w:r>
    </w:p>
    <w:p w14:paraId="0CD46B24">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提供时间为：</w:t>
      </w:r>
      <w:r>
        <w:rPr>
          <w:rFonts w:hint="eastAsia" w:ascii="宋体" w:hAnsi="宋体" w:eastAsia="宋体" w:cs="宋体"/>
          <w:color w:val="auto"/>
          <w:szCs w:val="21"/>
          <w:highlight w:val="none"/>
          <w:u w:val="single"/>
          <w:lang w:bidi="ar"/>
        </w:rPr>
        <w:t>合同签订后7个日历天内即提供</w:t>
      </w:r>
      <w:r>
        <w:rPr>
          <w:rFonts w:hint="eastAsia" w:ascii="宋体" w:hAnsi="宋体" w:eastAsia="宋体" w:cs="宋体"/>
          <w:color w:val="auto"/>
          <w:szCs w:val="21"/>
          <w:highlight w:val="none"/>
          <w:lang w:bidi="ar"/>
        </w:rPr>
        <w:t>。</w:t>
      </w:r>
    </w:p>
    <w:p w14:paraId="4B62E8D5">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其它要求：</w:t>
      </w:r>
      <w:r>
        <w:rPr>
          <w:rFonts w:hint="eastAsia" w:ascii="宋体" w:hAnsi="宋体" w:eastAsia="宋体" w:cs="宋体"/>
          <w:color w:val="auto"/>
          <w:szCs w:val="21"/>
          <w:highlight w:val="none"/>
          <w:u w:val="single"/>
          <w:lang w:bidi="ar"/>
        </w:rPr>
        <w:t>承包人不得向与施工无关的第三者提供</w:t>
      </w:r>
      <w:r>
        <w:rPr>
          <w:rFonts w:hint="eastAsia" w:ascii="宋体" w:hAnsi="宋体" w:eastAsia="宋体" w:cs="宋体"/>
          <w:color w:val="auto"/>
          <w:szCs w:val="21"/>
          <w:highlight w:val="none"/>
          <w:lang w:bidi="ar"/>
        </w:rPr>
        <w:t>。</w:t>
      </w:r>
    </w:p>
    <w:p w14:paraId="231ACEB5">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关于现场文件准备的约定：</w:t>
      </w:r>
      <w:r>
        <w:rPr>
          <w:rFonts w:hint="eastAsia" w:ascii="宋体" w:hAnsi="宋体" w:eastAsia="宋体" w:cs="宋体"/>
          <w:color w:val="auto"/>
          <w:szCs w:val="21"/>
          <w:highlight w:val="none"/>
          <w:u w:val="single"/>
          <w:lang w:bidi="ar"/>
        </w:rPr>
        <w:t>承包人应保存1套完整的施工图纸、勘察报告和其他过程资料在现场项目部，并能够随时提供给监理人及发包人同意的任何其他人员检查和使用</w:t>
      </w:r>
      <w:r>
        <w:rPr>
          <w:rFonts w:hint="eastAsia" w:ascii="宋体" w:hAnsi="宋体" w:eastAsia="宋体" w:cs="宋体"/>
          <w:color w:val="auto"/>
          <w:szCs w:val="21"/>
          <w:highlight w:val="none"/>
          <w:lang w:bidi="ar"/>
        </w:rPr>
        <w:t>。</w:t>
      </w:r>
    </w:p>
    <w:p w14:paraId="3D14AB34">
      <w:pPr>
        <w:adjustRightInd w:val="0"/>
        <w:snapToGri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发包人指定的送达方式：</w:t>
      </w:r>
      <w:r>
        <w:rPr>
          <w:rFonts w:hint="eastAsia" w:ascii="宋体" w:hAnsi="宋体" w:eastAsia="宋体" w:cs="宋体"/>
          <w:color w:val="auto"/>
          <w:szCs w:val="21"/>
          <w:highlight w:val="none"/>
          <w:u w:val="single"/>
          <w:lang w:bidi="ar"/>
        </w:rPr>
        <w:t>书面或电子</w:t>
      </w:r>
      <w:r>
        <w:rPr>
          <w:rFonts w:hint="eastAsia" w:ascii="宋体" w:hAnsi="宋体" w:eastAsia="宋体" w:cs="宋体"/>
          <w:color w:val="auto"/>
          <w:szCs w:val="21"/>
          <w:highlight w:val="none"/>
          <w:lang w:bidi="ar"/>
        </w:rPr>
        <w:t>。</w:t>
      </w:r>
    </w:p>
    <w:p w14:paraId="48F3CB90">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发包人的送达地址：</w:t>
      </w:r>
      <w:r>
        <w:rPr>
          <w:rFonts w:hint="eastAsia" w:ascii="宋体" w:hAnsi="宋体" w:eastAsia="宋体" w:cs="宋体"/>
          <w:color w:val="auto"/>
          <w:szCs w:val="21"/>
          <w:highlight w:val="none"/>
          <w:u w:val="single"/>
          <w:lang w:bidi="ar"/>
        </w:rPr>
        <w:t>莆田市湄洲岛旅游建设集团有限公司办公室</w:t>
      </w:r>
      <w:r>
        <w:rPr>
          <w:rFonts w:hint="eastAsia" w:ascii="宋体" w:hAnsi="宋体" w:eastAsia="宋体" w:cs="宋体"/>
          <w:color w:val="auto"/>
          <w:szCs w:val="21"/>
          <w:highlight w:val="none"/>
          <w:lang w:bidi="ar"/>
        </w:rPr>
        <w:t>。</w:t>
      </w:r>
    </w:p>
    <w:p w14:paraId="1C6E5943">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承包人指定的送达方式：</w:t>
      </w:r>
      <w:r>
        <w:rPr>
          <w:rFonts w:hint="eastAsia" w:ascii="宋体" w:hAnsi="宋体" w:eastAsia="宋体" w:cs="宋体"/>
          <w:color w:val="auto"/>
          <w:szCs w:val="21"/>
          <w:highlight w:val="none"/>
          <w:u w:val="single"/>
          <w:lang w:bidi="ar"/>
        </w:rPr>
        <w:t>书面或电子</w:t>
      </w:r>
      <w:r>
        <w:rPr>
          <w:rFonts w:hint="eastAsia" w:ascii="宋体" w:hAnsi="宋体" w:eastAsia="宋体" w:cs="宋体"/>
          <w:color w:val="auto"/>
          <w:szCs w:val="21"/>
          <w:highlight w:val="none"/>
          <w:lang w:bidi="ar"/>
        </w:rPr>
        <w:t>。</w:t>
      </w:r>
    </w:p>
    <w:p w14:paraId="13375319">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承包人的送达地址：</w:t>
      </w:r>
      <w:r>
        <w:rPr>
          <w:rFonts w:hint="eastAsia" w:ascii="宋体" w:hAnsi="宋体" w:eastAsia="宋体" w:cs="宋体"/>
          <w:color w:val="auto"/>
          <w:szCs w:val="21"/>
          <w:highlight w:val="none"/>
          <w:u w:val="single"/>
          <w:lang w:bidi="ar"/>
        </w:rPr>
        <w:t>现场施工项目部</w:t>
      </w:r>
      <w:r>
        <w:rPr>
          <w:rFonts w:hint="eastAsia" w:ascii="宋体" w:hAnsi="宋体" w:eastAsia="宋体" w:cs="宋体"/>
          <w:color w:val="auto"/>
          <w:szCs w:val="21"/>
          <w:highlight w:val="none"/>
          <w:lang w:bidi="ar"/>
        </w:rPr>
        <w:t>。</w:t>
      </w:r>
    </w:p>
    <w:p w14:paraId="2582998C">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82" w:name="_Toc256000156"/>
      <w:bookmarkStart w:id="83" w:name="_Toc256000227"/>
      <w:bookmarkStart w:id="84" w:name="_Toc25135"/>
      <w:bookmarkStart w:id="85" w:name="_Toc18775"/>
      <w:r>
        <w:rPr>
          <w:rFonts w:hint="eastAsia" w:ascii="宋体" w:hAnsi="宋体" w:eastAsia="宋体" w:cs="Times New Roman"/>
          <w:b/>
          <w:bCs/>
          <w:color w:val="auto"/>
          <w:sz w:val="28"/>
          <w:szCs w:val="28"/>
          <w:highlight w:val="none"/>
        </w:rPr>
        <w:t>2 发包人义务</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6" w:name="_Toc221951132"/>
    </w:p>
    <w:bookmarkEnd w:id="86"/>
    <w:p w14:paraId="2A9A60FF">
      <w:pPr>
        <w:keepNext/>
        <w:keepLines/>
        <w:spacing w:line="440" w:lineRule="exact"/>
        <w:ind w:firstLine="420" w:firstLineChars="200"/>
        <w:outlineLvl w:val="3"/>
        <w:rPr>
          <w:rFonts w:hint="eastAsia" w:ascii="宋体" w:hAnsi="宋体" w:eastAsia="宋体" w:cs="宋体"/>
          <w:bCs/>
          <w:color w:val="auto"/>
          <w:szCs w:val="21"/>
          <w:highlight w:val="none"/>
        </w:rPr>
      </w:pPr>
      <w:bookmarkStart w:id="87" w:name="_Toc341780340"/>
      <w:bookmarkStart w:id="88" w:name="_Toc340128280"/>
      <w:bookmarkStart w:id="89" w:name="_Toc511635985"/>
      <w:bookmarkStart w:id="90" w:name="_Toc262659540"/>
      <w:bookmarkStart w:id="91" w:name="_Toc221951134"/>
      <w:bookmarkStart w:id="92" w:name="_Toc262637981"/>
      <w:r>
        <w:rPr>
          <w:rFonts w:hint="eastAsia" w:ascii="宋体" w:hAnsi="宋体" w:eastAsia="宋体" w:cs="宋体"/>
          <w:bCs/>
          <w:color w:val="auto"/>
          <w:szCs w:val="21"/>
          <w:highlight w:val="none"/>
        </w:rPr>
        <w:t>2.3 提供施工场地</w:t>
      </w:r>
      <w:bookmarkEnd w:id="87"/>
      <w:bookmarkEnd w:id="88"/>
    </w:p>
    <w:p w14:paraId="0D0955F7">
      <w:pPr>
        <w:tabs>
          <w:tab w:val="left" w:pos="1162"/>
        </w:tabs>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2.3.1施工场地具备施工条件的要求：</w:t>
      </w:r>
      <w:r>
        <w:rPr>
          <w:rFonts w:hint="eastAsia" w:ascii="宋体" w:hAnsi="宋体" w:eastAsia="宋体" w:cs="宋体"/>
          <w:color w:val="auto"/>
          <w:szCs w:val="21"/>
          <w:highlight w:val="none"/>
          <w:u w:val="single" w:color="000000"/>
        </w:rPr>
        <w:t>按发包人的用地计划移交场地，承包人投标时已自行踏勘现场，其投标已充分考虑施工现场条件。若用地范围不能满足施工要求（含材料二次搬运），承包人必须自行解决（如租用场地），所需费用已考虑在施工图预算价款中，不得以不完全具备施工条件为由要求更改施工图预算价款和施工工期</w:t>
      </w:r>
      <w:r>
        <w:rPr>
          <w:rFonts w:hint="eastAsia" w:ascii="宋体" w:hAnsi="宋体" w:eastAsia="宋体" w:cs="宋体"/>
          <w:color w:val="auto"/>
          <w:szCs w:val="21"/>
          <w:highlight w:val="none"/>
          <w:u w:val="single"/>
        </w:rPr>
        <w:t>。</w:t>
      </w:r>
    </w:p>
    <w:p w14:paraId="1A41BB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2.3.2施工所需的水、电线路接至施工场地的地点和供应要求：</w:t>
      </w:r>
      <w:r>
        <w:rPr>
          <w:rFonts w:hint="eastAsia" w:ascii="宋体" w:hAnsi="宋体" w:eastAsia="宋体" w:cs="宋体"/>
          <w:color w:val="auto"/>
          <w:szCs w:val="21"/>
          <w:highlight w:val="none"/>
          <w:u w:val="single" w:color="000000"/>
        </w:rPr>
        <w:t>现场施工用水、用电要求，场内用水、用电的接引工作由承包人自行解决，水电费及接线费用由承包人承担，通讯由承包人自行解决。上述事项及其相关费用已包括在施工图预算价款中</w:t>
      </w:r>
      <w:r>
        <w:rPr>
          <w:rFonts w:hint="eastAsia" w:ascii="宋体" w:hAnsi="宋体" w:eastAsia="宋体" w:cs="宋体"/>
          <w:color w:val="auto"/>
          <w:szCs w:val="21"/>
          <w:highlight w:val="none"/>
          <w:u w:val="single"/>
        </w:rPr>
        <w:t>。</w:t>
      </w:r>
    </w:p>
    <w:p w14:paraId="466689B7">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2.3.3施工场地与公共道路的通道开通要求：</w:t>
      </w:r>
      <w:r>
        <w:rPr>
          <w:rFonts w:hint="eastAsia" w:ascii="宋体" w:hAnsi="宋体" w:eastAsia="宋体" w:cs="宋体"/>
          <w:color w:val="auto"/>
          <w:szCs w:val="21"/>
          <w:highlight w:val="none"/>
          <w:u w:val="single"/>
        </w:rPr>
        <w:t>承包人应遵守莆田市和湄洲岛</w:t>
      </w:r>
      <w:r>
        <w:rPr>
          <w:rFonts w:hint="eastAsia" w:ascii="宋体" w:hAnsi="宋体" w:eastAsia="宋体" w:cs="宋体"/>
          <w:color w:val="auto"/>
          <w:szCs w:val="21"/>
          <w:highlight w:val="none"/>
          <w:u w:val="single"/>
          <w:lang w:eastAsia="zh-CN"/>
        </w:rPr>
        <w:t>相关</w:t>
      </w:r>
      <w:r>
        <w:rPr>
          <w:rFonts w:hint="eastAsia" w:ascii="宋体" w:hAnsi="宋体" w:eastAsia="宋体" w:cs="宋体"/>
          <w:color w:val="auto"/>
          <w:szCs w:val="21"/>
          <w:highlight w:val="none"/>
          <w:u w:val="single"/>
        </w:rPr>
        <w:t>部门的有关规定，连续30日历日内累计达到3日以内（含3日）的不予以工期顺延，超过3日的工期顺延。</w:t>
      </w:r>
    </w:p>
    <w:p w14:paraId="71635D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2.3.4工程地质和地下管线资料的提供时间：</w:t>
      </w:r>
      <w:r>
        <w:rPr>
          <w:rFonts w:hint="eastAsia" w:ascii="宋体" w:hAnsi="宋体" w:eastAsia="宋体" w:cs="宋体"/>
          <w:color w:val="auto"/>
          <w:szCs w:val="21"/>
          <w:highlight w:val="none"/>
          <w:u w:val="single"/>
        </w:rPr>
        <w:t>在施工前由发包人向承包人交底。承包人有责任在其基础上继续核实。如涉及改线赔偿，承包人先行与专业管线单位沟通，由发包人与专业管线单位交涉与确认。</w:t>
      </w:r>
    </w:p>
    <w:p w14:paraId="1500E705">
      <w:pPr>
        <w:keepNext/>
        <w:keepLines/>
        <w:adjustRightInd w:val="0"/>
        <w:snapToGrid w:val="0"/>
        <w:spacing w:line="520" w:lineRule="exact"/>
        <w:outlineLvl w:val="3"/>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2.8 其它义务</w:t>
      </w:r>
      <w:bookmarkEnd w:id="89"/>
      <w:bookmarkEnd w:id="90"/>
      <w:bookmarkEnd w:id="91"/>
      <w:bookmarkEnd w:id="92"/>
      <w:bookmarkStart w:id="93" w:name="_Toc262637982"/>
      <w:bookmarkStart w:id="94" w:name="_Toc262659541"/>
      <w:bookmarkStart w:id="95" w:name="_Toc221951135"/>
    </w:p>
    <w:p w14:paraId="64640E39">
      <w:pPr>
        <w:widowControl/>
        <w:shd w:val="clear" w:color="auto" w:fill="FFFFFF"/>
        <w:snapToGrid w:val="0"/>
        <w:spacing w:line="360" w:lineRule="auto"/>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根据发包人的合同管理要求补充</w:t>
      </w:r>
      <w:r>
        <w:rPr>
          <w:rFonts w:ascii="宋体" w:hAnsi="宋体" w:eastAsia="宋体" w:cs="Times New Roman"/>
          <w:color w:val="auto"/>
          <w:szCs w:val="21"/>
          <w:highlight w:val="none"/>
        </w:rPr>
        <w:t>)</w:t>
      </w:r>
      <w:bookmarkEnd w:id="93"/>
      <w:bookmarkEnd w:id="94"/>
      <w:bookmarkEnd w:id="95"/>
    </w:p>
    <w:p w14:paraId="4C7194F5">
      <w:pPr>
        <w:spacing w:line="360" w:lineRule="auto"/>
        <w:ind w:firstLine="420" w:firstLineChars="200"/>
        <w:rPr>
          <w:rFonts w:hint="eastAsia" w:ascii="宋体" w:hAnsi="宋体" w:eastAsia="宋体" w:cs="Times New Roman"/>
          <w:color w:val="auto"/>
          <w:szCs w:val="21"/>
          <w:highlight w:val="none"/>
          <w:u w:val="single"/>
        </w:rPr>
      </w:pPr>
      <w:r>
        <w:rPr>
          <w:rFonts w:hint="eastAsia" w:ascii="Times New Roman" w:hAnsi="宋体" w:eastAsia="宋体" w:cs="宋体"/>
          <w:color w:val="auto"/>
          <w:szCs w:val="22"/>
          <w:highlight w:val="none"/>
          <w:u w:val="single"/>
        </w:rPr>
        <w:t>（1）发包人应在开工通知发出前安排监理人及时进入工地开展监理工作。</w:t>
      </w:r>
    </w:p>
    <w:p w14:paraId="1799E899">
      <w:pPr>
        <w:spacing w:line="360" w:lineRule="auto"/>
        <w:ind w:firstLine="420" w:firstLineChars="200"/>
        <w:rPr>
          <w:rFonts w:hint="eastAsia" w:ascii="Times New Roman" w:hAnsi="宋体" w:eastAsia="宋体" w:cs="宋体"/>
          <w:color w:val="auto"/>
          <w:szCs w:val="22"/>
          <w:highlight w:val="none"/>
          <w:u w:val="single"/>
        </w:rPr>
      </w:pPr>
      <w:r>
        <w:rPr>
          <w:rFonts w:hint="eastAsia" w:ascii="Times New Roman" w:hAnsi="宋体" w:eastAsia="宋体" w:cs="宋体"/>
          <w:color w:val="auto"/>
          <w:szCs w:val="22"/>
          <w:highlight w:val="none"/>
          <w:u w:val="single"/>
        </w:rPr>
        <w:t>（2）发包人应按合同规定，完成由发包人承担的施工准备工程，并按合同规定的期限提供承包人使用。</w:t>
      </w:r>
    </w:p>
    <w:p w14:paraId="07714908">
      <w:pPr>
        <w:spacing w:line="360" w:lineRule="auto"/>
        <w:ind w:firstLine="420" w:firstLineChars="200"/>
        <w:rPr>
          <w:rFonts w:hint="eastAsia" w:ascii="Times New Roman" w:hAnsi="宋体" w:eastAsia="宋体" w:cs="宋体"/>
          <w:color w:val="auto"/>
          <w:szCs w:val="22"/>
          <w:highlight w:val="none"/>
          <w:u w:val="single"/>
        </w:rPr>
      </w:pPr>
      <w:r>
        <w:rPr>
          <w:rFonts w:hint="eastAsia" w:ascii="Times New Roman" w:hAnsi="宋体" w:eastAsia="宋体" w:cs="宋体"/>
          <w:color w:val="auto"/>
          <w:szCs w:val="22"/>
          <w:highlight w:val="none"/>
          <w:u w:val="single"/>
        </w:rPr>
        <w:t>（3）发包人应向承包人提供已有的与本合同工程有关的资料，但只对列入合同文件的</w:t>
      </w:r>
      <w:r>
        <w:rPr>
          <w:rFonts w:hint="eastAsia" w:ascii="Times New Roman" w:hAnsi="宋体" w:eastAsia="宋体" w:cs="宋体"/>
          <w:color w:val="auto"/>
          <w:szCs w:val="22"/>
          <w:highlight w:val="none"/>
          <w:u w:val="single"/>
          <w:lang w:eastAsia="zh-CN"/>
        </w:rPr>
        <w:t>有关资料</w:t>
      </w:r>
      <w:r>
        <w:rPr>
          <w:rFonts w:hint="eastAsia" w:ascii="Times New Roman" w:hAnsi="宋体" w:eastAsia="宋体" w:cs="宋体"/>
          <w:color w:val="auto"/>
          <w:szCs w:val="22"/>
          <w:highlight w:val="none"/>
          <w:u w:val="single"/>
        </w:rPr>
        <w:t>负责，不对承包人使用上述资料所作的分析、判断和推论负责。</w:t>
      </w:r>
    </w:p>
    <w:p w14:paraId="4E58B428">
      <w:pPr>
        <w:spacing w:line="360" w:lineRule="auto"/>
        <w:ind w:firstLine="420" w:firstLineChars="200"/>
        <w:rPr>
          <w:rFonts w:hint="eastAsia" w:ascii="Times New Roman" w:hAnsi="宋体" w:eastAsia="宋体" w:cs="宋体"/>
          <w:color w:val="auto"/>
          <w:szCs w:val="22"/>
          <w:highlight w:val="none"/>
          <w:u w:val="single"/>
        </w:rPr>
      </w:pPr>
      <w:r>
        <w:rPr>
          <w:rFonts w:hint="eastAsia" w:ascii="Times New Roman" w:hAnsi="宋体" w:eastAsia="宋体" w:cs="宋体"/>
          <w:color w:val="auto"/>
          <w:szCs w:val="22"/>
          <w:highlight w:val="none"/>
          <w:u w:val="single"/>
        </w:rPr>
        <w:t>（4）发包人应委托监理人在合同规定的期限内向承包人提供应由发包人负责提供的图纸。</w:t>
      </w:r>
    </w:p>
    <w:p w14:paraId="16FEB0DE">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96" w:name="_Toc511635986"/>
      <w:bookmarkStart w:id="97" w:name="_Toc222032698"/>
      <w:bookmarkStart w:id="98" w:name="_Toc515441163"/>
      <w:bookmarkStart w:id="99" w:name="_Toc221951140"/>
      <w:bookmarkStart w:id="100" w:name="_Toc32405"/>
      <w:bookmarkStart w:id="101" w:name="_Toc6123"/>
      <w:bookmarkStart w:id="102" w:name="_Toc256000228"/>
      <w:bookmarkStart w:id="103" w:name="_Toc256000157"/>
      <w:bookmarkStart w:id="104" w:name="_Toc35605767"/>
      <w:bookmarkStart w:id="105" w:name="_Toc7185608"/>
      <w:bookmarkStart w:id="106" w:name="_Toc256000129"/>
      <w:bookmarkStart w:id="107" w:name="_Toc256000109"/>
      <w:bookmarkStart w:id="108" w:name="_Toc516816166"/>
      <w:bookmarkStart w:id="109" w:name="_Toc15845"/>
      <w:bookmarkStart w:id="110" w:name="_Toc222031031"/>
      <w:bookmarkStart w:id="111" w:name="_Toc222029529"/>
      <w:bookmarkStart w:id="112" w:name="_Toc487489977"/>
      <w:bookmarkStart w:id="113" w:name="_Toc229305389"/>
      <w:bookmarkStart w:id="114" w:name="_Toc222033880"/>
      <w:r>
        <w:rPr>
          <w:rFonts w:hint="eastAsia" w:ascii="宋体" w:hAnsi="宋体" w:eastAsia="宋体" w:cs="Times New Roman"/>
          <w:b/>
          <w:bCs/>
          <w:color w:val="auto"/>
          <w:sz w:val="28"/>
          <w:szCs w:val="28"/>
          <w:highlight w:val="none"/>
        </w:rPr>
        <w:t>3 监理人</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Start w:id="115" w:name="_Toc221951141"/>
    </w:p>
    <w:p w14:paraId="6A8090FC">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116" w:name="_Toc262637986"/>
      <w:bookmarkStart w:id="117" w:name="_Toc511635987"/>
      <w:r>
        <w:rPr>
          <w:rFonts w:hint="eastAsia" w:ascii="宋体" w:hAnsi="宋体" w:eastAsia="宋体" w:cs="Times New Roman"/>
          <w:b/>
          <w:bCs/>
          <w:color w:val="auto"/>
          <w:sz w:val="28"/>
          <w:szCs w:val="28"/>
          <w:highlight w:val="none"/>
        </w:rPr>
        <w:t>3.1 监理人的职责和权力</w:t>
      </w:r>
      <w:bookmarkEnd w:id="115"/>
      <w:bookmarkEnd w:id="116"/>
      <w:bookmarkEnd w:id="117"/>
    </w:p>
    <w:p w14:paraId="028DFBF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u w:val="single"/>
        </w:rPr>
      </w:pPr>
      <w:bookmarkStart w:id="118" w:name="_Toc221951142"/>
      <w:bookmarkStart w:id="119" w:name="_Toc262637987"/>
      <w:bookmarkStart w:id="120" w:name="_Toc262659544"/>
      <w:r>
        <w:rPr>
          <w:rFonts w:hint="eastAsia" w:ascii="宋体" w:hAnsi="宋体" w:eastAsia="宋体" w:cs="Times New Roman"/>
          <w:color w:val="auto"/>
          <w:szCs w:val="21"/>
          <w:highlight w:val="none"/>
        </w:rPr>
        <w:t>3.1.1</w:t>
      </w:r>
      <w:bookmarkEnd w:id="118"/>
      <w:r>
        <w:rPr>
          <w:rFonts w:hint="eastAsia" w:ascii="宋体" w:hAnsi="宋体" w:eastAsia="宋体" w:cs="Times New Roman"/>
          <w:color w:val="auto"/>
          <w:szCs w:val="21"/>
          <w:highlight w:val="none"/>
        </w:rPr>
        <w:t xml:space="preserve"> 监理人须根据发包人事先批准的权力范围行使权力，发包人批准的权力范围：</w:t>
      </w:r>
      <w:r>
        <w:rPr>
          <w:rFonts w:hint="eastAsia" w:ascii="宋体" w:hAnsi="宋体" w:eastAsia="宋体" w:cs="Times New Roman"/>
          <w:color w:val="auto"/>
          <w:szCs w:val="21"/>
          <w:highlight w:val="none"/>
          <w:u w:val="single"/>
        </w:rPr>
        <w:t>（填写监理人须经发包人批准才能行使的权力，以下示例供参考）</w:t>
      </w:r>
      <w:bookmarkEnd w:id="119"/>
      <w:bookmarkEnd w:id="120"/>
    </w:p>
    <w:p w14:paraId="30122913">
      <w:pPr>
        <w:spacing w:line="400" w:lineRule="exact"/>
        <w:ind w:firstLine="420" w:firstLineChars="20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（1）</w:t>
      </w:r>
      <w:bookmarkStart w:id="121" w:name="_Toc221951145"/>
      <w:r>
        <w:rPr>
          <w:rFonts w:hint="eastAsia" w:ascii="宋体" w:hAnsi="宋体" w:eastAsia="宋体" w:cs="Times New Roman"/>
          <w:color w:val="auto"/>
          <w:szCs w:val="22"/>
          <w:highlight w:val="none"/>
        </w:rPr>
        <w:t>按第4.3条约定，批准工程的分包</w:t>
      </w:r>
      <w:bookmarkEnd w:id="121"/>
      <w:r>
        <w:rPr>
          <w:rFonts w:hint="eastAsia" w:ascii="宋体" w:hAnsi="宋体" w:eastAsia="宋体" w:cs="Times New Roman"/>
          <w:color w:val="auto"/>
          <w:szCs w:val="22"/>
          <w:highlight w:val="none"/>
        </w:rPr>
        <w:t>。</w:t>
      </w:r>
    </w:p>
    <w:p w14:paraId="08F90F83">
      <w:pPr>
        <w:spacing w:line="400" w:lineRule="exact"/>
        <w:ind w:left="420" w:leftChars="200"/>
        <w:rPr>
          <w:rFonts w:hint="eastAsia" w:ascii="宋体" w:hAnsi="宋体" w:eastAsia="宋体" w:cs="Times New Roman"/>
          <w:color w:val="auto"/>
          <w:szCs w:val="22"/>
          <w:highlight w:val="none"/>
        </w:rPr>
      </w:pPr>
      <w:bookmarkStart w:id="122" w:name="_Toc221951146"/>
      <w:r>
        <w:rPr>
          <w:rFonts w:hint="eastAsia" w:ascii="宋体" w:hAnsi="宋体" w:eastAsia="宋体" w:cs="Times New Roman"/>
          <w:color w:val="auto"/>
          <w:szCs w:val="22"/>
          <w:highlight w:val="none"/>
        </w:rPr>
        <w:t>（2）按第11.3条约定，确定延长完工期限</w:t>
      </w:r>
      <w:bookmarkEnd w:id="122"/>
      <w:r>
        <w:rPr>
          <w:rFonts w:hint="eastAsia" w:ascii="宋体" w:hAnsi="宋体" w:eastAsia="宋体" w:cs="Times New Roman"/>
          <w:color w:val="auto"/>
          <w:szCs w:val="22"/>
          <w:highlight w:val="none"/>
        </w:rPr>
        <w:t>。</w:t>
      </w:r>
    </w:p>
    <w:p w14:paraId="4013721A">
      <w:pPr>
        <w:spacing w:line="400" w:lineRule="exact"/>
        <w:ind w:left="420" w:leftChars="200"/>
        <w:rPr>
          <w:rFonts w:hint="eastAsia" w:ascii="宋体" w:hAnsi="宋体" w:eastAsia="宋体" w:cs="Times New Roman"/>
          <w:color w:val="auto"/>
          <w:szCs w:val="22"/>
          <w:highlight w:val="none"/>
        </w:rPr>
      </w:pPr>
      <w:bookmarkStart w:id="123" w:name="_Toc221951147"/>
      <w:r>
        <w:rPr>
          <w:rFonts w:hint="eastAsia" w:ascii="宋体" w:hAnsi="宋体" w:eastAsia="宋体" w:cs="Times New Roman"/>
          <w:color w:val="auto"/>
          <w:szCs w:val="22"/>
          <w:highlight w:val="none"/>
        </w:rPr>
        <w:t>（3）按第15.6条约定，批准暂列金额的使用</w:t>
      </w:r>
      <w:bookmarkEnd w:id="123"/>
      <w:r>
        <w:rPr>
          <w:rFonts w:hint="eastAsia" w:ascii="宋体" w:hAnsi="宋体" w:eastAsia="宋体" w:cs="Times New Roman"/>
          <w:color w:val="auto"/>
          <w:szCs w:val="22"/>
          <w:highlight w:val="none"/>
        </w:rPr>
        <w:t>。</w:t>
      </w:r>
    </w:p>
    <w:p w14:paraId="45189695">
      <w:pPr>
        <w:spacing w:line="400" w:lineRule="exact"/>
        <w:ind w:left="420" w:leftChars="20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（4）</w:t>
      </w:r>
      <w:r>
        <w:rPr>
          <w:rFonts w:hint="eastAsia" w:ascii="Times New Roman" w:hAnsi="Times New Roman" w:eastAsia="宋体" w:cs="Times New Roman"/>
          <w:color w:val="auto"/>
          <w:szCs w:val="21"/>
          <w:highlight w:val="none"/>
        </w:rPr>
        <w:t>当变更引起的合同价格（与变更有关的单位工程的合同价格相比）变化时，在发</w:t>
      </w:r>
      <w:r>
        <w:rPr>
          <w:rFonts w:hint="eastAsia" w:ascii="宋体" w:hAnsi="宋体" w:eastAsia="宋体" w:cs="Times New Roman"/>
          <w:color w:val="auto"/>
          <w:szCs w:val="21"/>
          <w:highlight w:val="none"/>
        </w:rPr>
        <w:t>包单位的授权范围内作出变更决定。</w:t>
      </w:r>
    </w:p>
    <w:p w14:paraId="34DCFA29">
      <w:pPr>
        <w:spacing w:line="400" w:lineRule="exact"/>
        <w:ind w:left="420" w:leftChars="20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（5）</w:t>
      </w:r>
      <w:r>
        <w:rPr>
          <w:rFonts w:hint="eastAsia" w:ascii="宋体" w:hAnsi="宋体" w:eastAsia="宋体" w:cs="Times New Roman"/>
          <w:color w:val="auto"/>
          <w:szCs w:val="21"/>
          <w:highlight w:val="none"/>
        </w:rPr>
        <w:t>重大变更；</w:t>
      </w:r>
    </w:p>
    <w:p w14:paraId="22FCA54B">
      <w:pPr>
        <w:spacing w:line="400" w:lineRule="exact"/>
        <w:ind w:left="420" w:leftChars="20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（6）</w:t>
      </w:r>
      <w:r>
        <w:rPr>
          <w:rFonts w:hint="eastAsia" w:ascii="宋体" w:hAnsi="宋体" w:eastAsia="宋体" w:cs="Times New Roman"/>
          <w:color w:val="auto"/>
          <w:szCs w:val="21"/>
          <w:highlight w:val="none"/>
        </w:rPr>
        <w:t>影响工期、质量、合同价格等其它重大决定；</w:t>
      </w:r>
    </w:p>
    <w:p w14:paraId="36ECE67C">
      <w:pPr>
        <w:spacing w:line="400" w:lineRule="exact"/>
        <w:ind w:left="420" w:leftChars="200"/>
        <w:rPr>
          <w:rFonts w:hint="eastAsia" w:ascii="宋体" w:hAnsi="宋体" w:eastAsia="宋体" w:cs="Times New Roman"/>
          <w:color w:val="auto"/>
          <w:szCs w:val="22"/>
          <w:highlight w:val="none"/>
        </w:rPr>
      </w:pPr>
      <w:r>
        <w:rPr>
          <w:rFonts w:hint="eastAsia" w:ascii="宋体" w:hAnsi="宋体" w:eastAsia="宋体" w:cs="Times New Roman"/>
          <w:color w:val="auto"/>
          <w:szCs w:val="22"/>
          <w:highlight w:val="none"/>
        </w:rPr>
        <w:t>（7）其他详见监理合同。</w:t>
      </w:r>
    </w:p>
    <w:p w14:paraId="062CA2FD">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124" w:name="_Toc35605768"/>
      <w:bookmarkStart w:id="125" w:name="_Toc222029530"/>
      <w:bookmarkStart w:id="126" w:name="_Toc7185609"/>
      <w:bookmarkStart w:id="127" w:name="_Toc2540"/>
      <w:bookmarkStart w:id="128" w:name="_Toc487489978"/>
      <w:bookmarkStart w:id="129" w:name="_Toc221951150"/>
      <w:bookmarkStart w:id="130" w:name="_Toc222031032"/>
      <w:bookmarkStart w:id="131" w:name="_Toc511635988"/>
      <w:bookmarkStart w:id="132" w:name="_Toc515441164"/>
      <w:bookmarkStart w:id="133" w:name="_Toc516816167"/>
      <w:bookmarkStart w:id="134" w:name="_Toc9449"/>
      <w:bookmarkStart w:id="135" w:name="_Toc229305390"/>
      <w:bookmarkStart w:id="136" w:name="_Toc30272"/>
      <w:bookmarkStart w:id="137" w:name="_Toc222032699"/>
      <w:bookmarkStart w:id="138" w:name="_Toc256000110"/>
      <w:bookmarkStart w:id="139" w:name="_Toc256000158"/>
      <w:bookmarkStart w:id="140" w:name="_Toc222033881"/>
      <w:bookmarkStart w:id="141" w:name="_Toc256000130"/>
      <w:bookmarkStart w:id="142" w:name="_Toc256000229"/>
      <w:r>
        <w:rPr>
          <w:rFonts w:hint="eastAsia" w:ascii="宋体" w:hAnsi="宋体" w:eastAsia="宋体" w:cs="Times New Roman"/>
          <w:b/>
          <w:bCs/>
          <w:color w:val="auto"/>
          <w:sz w:val="28"/>
          <w:szCs w:val="28"/>
          <w:highlight w:val="none"/>
        </w:rPr>
        <w:t>4 承包人</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Start w:id="143" w:name="_Toc221951151"/>
    </w:p>
    <w:p w14:paraId="6F56051F">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144" w:name="_Toc262637989"/>
      <w:bookmarkStart w:id="145" w:name="_Toc511635989"/>
      <w:r>
        <w:rPr>
          <w:rFonts w:hint="eastAsia" w:ascii="宋体" w:hAnsi="宋体" w:eastAsia="宋体" w:cs="Times New Roman"/>
          <w:b/>
          <w:bCs/>
          <w:color w:val="auto"/>
          <w:sz w:val="28"/>
          <w:szCs w:val="28"/>
          <w:highlight w:val="none"/>
        </w:rPr>
        <w:t>4.1 承包人的一般义务</w:t>
      </w:r>
      <w:bookmarkEnd w:id="143"/>
      <w:bookmarkEnd w:id="144"/>
      <w:bookmarkEnd w:id="145"/>
    </w:p>
    <w:p w14:paraId="56EAFB3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146" w:name="_Toc221951152"/>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10</w:t>
      </w:r>
      <w:r>
        <w:rPr>
          <w:rFonts w:hint="eastAsia" w:ascii="宋体" w:hAnsi="宋体" w:eastAsia="宋体" w:cs="Times New Roman"/>
          <w:color w:val="auto"/>
          <w:szCs w:val="21"/>
          <w:highlight w:val="none"/>
        </w:rPr>
        <w:t xml:space="preserve"> 其他义务</w:t>
      </w:r>
      <w:bookmarkEnd w:id="146"/>
    </w:p>
    <w:p w14:paraId="5647E3A2">
      <w:pPr>
        <w:spacing w:line="360" w:lineRule="auto"/>
        <w:ind w:firstLine="420" w:firstLineChars="200"/>
        <w:rPr>
          <w:rFonts w:hint="eastAsia" w:ascii="Times New Roman" w:hAnsi="Times New Roman" w:eastAsia="宋体" w:cs="Times New Roman"/>
          <w:b/>
          <w:color w:val="auto"/>
          <w:szCs w:val="21"/>
          <w:highlight w:val="none"/>
        </w:rPr>
      </w:pPr>
      <w:bookmarkStart w:id="147" w:name="_Toc511635990"/>
      <w:bookmarkStart w:id="148" w:name="_Toc221951153"/>
      <w:bookmarkStart w:id="149" w:name="_Toc262637992"/>
      <w:r>
        <w:rPr>
          <w:rFonts w:hint="eastAsia" w:ascii="宋体" w:hAnsi="宋体" w:eastAsia="宋体" w:cs="Times New Roman"/>
          <w:color w:val="auto"/>
          <w:szCs w:val="21"/>
          <w:highlight w:val="none"/>
        </w:rPr>
        <w:t>（1）</w:t>
      </w:r>
      <w:r>
        <w:rPr>
          <w:rFonts w:hint="eastAsia" w:ascii="Times New Roman" w:hAnsi="宋体" w:eastAsia="宋体" w:cs="宋体"/>
          <w:color w:val="auto"/>
          <w:szCs w:val="22"/>
          <w:highlight w:val="none"/>
        </w:rPr>
        <w:t>承包人应按规定向发包人提交履约担保。</w:t>
      </w:r>
    </w:p>
    <w:p w14:paraId="07B017B6">
      <w:pPr>
        <w:spacing w:line="360" w:lineRule="auto"/>
        <w:ind w:firstLine="422" w:firstLineChars="200"/>
        <w:rPr>
          <w:rFonts w:hint="eastAsia" w:ascii="Times New Roman" w:hAnsi="宋体" w:eastAsia="宋体" w:cs="宋体"/>
          <w:b/>
          <w:bCs/>
          <w:color w:val="auto"/>
          <w:szCs w:val="22"/>
          <w:highlight w:val="none"/>
        </w:rPr>
      </w:pPr>
      <w:r>
        <w:rPr>
          <w:rFonts w:hint="eastAsia" w:ascii="宋体" w:hAnsi="宋体" w:eastAsia="宋体" w:cs="Times New Roman"/>
          <w:b/>
          <w:bCs/>
          <w:color w:val="auto"/>
          <w:szCs w:val="21"/>
          <w:highlight w:val="none"/>
        </w:rPr>
        <w:t>（2）</w:t>
      </w:r>
      <w:r>
        <w:rPr>
          <w:rFonts w:hint="eastAsia" w:ascii="Times New Roman" w:hAnsi="Times New Roman" w:eastAsia="宋体" w:cs="Times New Roman"/>
          <w:b/>
          <w:bCs/>
          <w:color w:val="auto"/>
          <w:szCs w:val="21"/>
          <w:highlight w:val="none"/>
        </w:rPr>
        <w:t>承包人应于签订合同后</w:t>
      </w:r>
      <w:r>
        <w:rPr>
          <w:rFonts w:hint="eastAsia" w:ascii="Times New Roman" w:hAnsi="Times New Roman" w:eastAsia="宋体" w:cs="Times New Roman"/>
          <w:b/>
          <w:bCs/>
          <w:color w:val="auto"/>
          <w:szCs w:val="21"/>
          <w:highlight w:val="none"/>
        </w:rPr>
        <w:t>7</w:t>
      </w:r>
      <w:r>
        <w:rPr>
          <w:rFonts w:hint="eastAsia" w:ascii="Times New Roman" w:hAnsi="Times New Roman" w:eastAsia="宋体" w:cs="Times New Roman"/>
          <w:b/>
          <w:bCs/>
          <w:color w:val="auto"/>
          <w:szCs w:val="21"/>
          <w:highlight w:val="none"/>
        </w:rPr>
        <w:t>个日历天内调遣人员和施工设备、材料进场动工。</w:t>
      </w:r>
    </w:p>
    <w:p w14:paraId="4FF69E6A">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（3）承包人应按合同规定的内容和时间要求，编制施工组织设计、施工措施计划和由承包人负责的施工图纸，报送监理人审批，并对现场作业和施工方法的完备和可靠负全部责任。</w:t>
      </w:r>
    </w:p>
    <w:p w14:paraId="3952EBC0">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（4）</w:t>
      </w:r>
      <w:r>
        <w:rPr>
          <w:rFonts w:hint="eastAsia" w:ascii="宋体" w:hAnsi="宋体" w:eastAsia="宋体" w:cs="宋体"/>
          <w:color w:val="auto"/>
          <w:szCs w:val="21"/>
          <w:highlight w:val="none"/>
        </w:rPr>
        <w:t>承包人应对其施工设备和参建人员人身安全等进行投保。</w:t>
      </w:r>
    </w:p>
    <w:p w14:paraId="3168B39B">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5）承包人应按国家有关规定文明施工，并应在施工组织设计中提出施工全过程的文明施工措施计划，同时承包人需根据福建省水利厅印发的《福建省水利工程工地标准化建设指南（试行）》要求严格执行施工规范化和标准化管理，并经验收合格后投入使用，该项费用已含在投标报价中，不另行支付。</w:t>
      </w:r>
    </w:p>
    <w:p w14:paraId="2ABE89CA">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（6）承包人应严格按施工图纸和《技术条款》中规定的质量要求完成各项工作。</w:t>
      </w:r>
    </w:p>
    <w:p w14:paraId="4722C71E">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7）工程未移交发包人前，承包人应负责照管和维护，移交后承包人应承担保修期内的缺陷修复工作。若工程移交证书颁发时尚有部分未完工程需在保修期内继续完成，则承包人还应负责该未完工程的照管和维护工作，直至完工后移交给发包人为止。</w:t>
      </w:r>
    </w:p>
    <w:p w14:paraId="34E67BBE">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（8）承包人应在合同规定的期限内完成工地清理并按期撤退其人员、施工设备和剩余材料。</w:t>
      </w:r>
    </w:p>
    <w:p w14:paraId="3B9576D4">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（9）承包人应对施工涉及的进场道路等及时进行维护、加固和安全防护，费用由承包人承担。</w:t>
      </w:r>
    </w:p>
    <w:p w14:paraId="741E8013">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（10）承包人应接受工程质量监督和工程安全鉴定单位的检查，并及时提交相关的自检报告。</w:t>
      </w:r>
    </w:p>
    <w:p w14:paraId="65E964AD">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（11）承包人应努力做到保证完工资料编制与施工同步进行，保证完工资料的完整性和准确性。</w:t>
      </w:r>
    </w:p>
    <w:p w14:paraId="20CCC9F3">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（12）承包人在施工过程中运输淤泥及土方过程中渣土点，散、落，导致影响周边环境卫生，由施工单位自行负责清理，不再追加任何费用。</w:t>
      </w:r>
    </w:p>
    <w:p w14:paraId="4557038A">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（13）施工用电及用电立户、线路以及电费由施工单位自行负责，不再追加任何费用。</w:t>
      </w:r>
    </w:p>
    <w:p w14:paraId="06A9BFDF">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 xml:space="preserve"> (14) 承包人在施工过程中运输道路无法承受运输车辆的承载力，由施工单位自行负责解决，不再追加任何费用。</w:t>
      </w:r>
    </w:p>
    <w:p w14:paraId="78E65A1A">
      <w:pPr>
        <w:spacing w:line="360" w:lineRule="auto"/>
        <w:ind w:firstLine="420" w:firstLineChars="200"/>
        <w:rPr>
          <w:rFonts w:hint="eastAsia" w:ascii="Times New Roman" w:hAnsi="宋体" w:eastAsia="宋体" w:cs="宋体"/>
          <w:color w:val="auto"/>
          <w:szCs w:val="22"/>
          <w:highlight w:val="none"/>
        </w:rPr>
      </w:pPr>
      <w:r>
        <w:rPr>
          <w:rFonts w:hint="eastAsia" w:ascii="Times New Roman" w:hAnsi="宋体" w:eastAsia="宋体" w:cs="宋体"/>
          <w:color w:val="auto"/>
          <w:szCs w:val="22"/>
          <w:highlight w:val="none"/>
        </w:rPr>
        <w:t>（15）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水利建设市场信用信息管理系统，并承担5万元违约金。</w:t>
      </w:r>
    </w:p>
    <w:p w14:paraId="79AD3AC9">
      <w:pPr>
        <w:spacing w:line="360" w:lineRule="auto"/>
        <w:ind w:firstLine="420" w:firstLineChars="200"/>
        <w:rPr>
          <w:rFonts w:hint="eastAsia" w:ascii="Times New Roman" w:hAnsi="Times New Roman" w:eastAsia="宋体" w:cs="Times New Roman"/>
          <w:color w:val="auto"/>
          <w:kern w:val="0"/>
          <w:szCs w:val="22"/>
          <w:highlight w:val="none"/>
          <w:lang w:bidi="ar"/>
        </w:rPr>
      </w:pPr>
      <w:r>
        <w:rPr>
          <w:rFonts w:hint="eastAsia" w:ascii="Times New Roman" w:hAnsi="宋体" w:eastAsia="宋体" w:cs="宋体"/>
          <w:color w:val="auto"/>
          <w:szCs w:val="22"/>
          <w:highlight w:val="none"/>
        </w:rPr>
        <w:t>（16）</w:t>
      </w:r>
      <w:r>
        <w:rPr>
          <w:rFonts w:hint="eastAsia" w:ascii="Times New Roman" w:hAnsi="Times New Roman" w:eastAsia="宋体" w:cs="Times New Roman"/>
          <w:color w:val="auto"/>
          <w:kern w:val="0"/>
          <w:szCs w:val="22"/>
          <w:highlight w:val="none"/>
          <w:lang w:bidi="ar"/>
        </w:rPr>
        <w:t>承包人应按照政府相关规定，建立健全员工工资发放和劳动保障制度。如因员工工资发放和劳动保障制度不健全而引发纠纷，导致民工上访、围堵发包人等，业主有权在工程款中扣除用于支付农民工工资，期间农民工上访及其他一切后果由承包人自行承担，同时发包人有权解除合同、没收履约保证金并追究承包人责任。</w:t>
      </w:r>
    </w:p>
    <w:p w14:paraId="2CB0629F">
      <w:pPr>
        <w:spacing w:line="360" w:lineRule="auto"/>
        <w:ind w:firstLine="420" w:firstLineChars="200"/>
        <w:rPr>
          <w:rFonts w:hint="eastAsia" w:ascii="Times New Roman" w:hAnsi="Times New Roman" w:eastAsia="宋体" w:cs="Times New Roman"/>
          <w:b/>
          <w:bCs/>
          <w:color w:val="auto"/>
          <w:kern w:val="0"/>
          <w:szCs w:val="22"/>
          <w:highlight w:val="none"/>
          <w:lang w:bidi="ar"/>
        </w:rPr>
      </w:pPr>
      <w:r>
        <w:rPr>
          <w:rFonts w:hint="eastAsia" w:ascii="Times New Roman" w:hAnsi="宋体" w:eastAsia="宋体" w:cs="宋体"/>
          <w:color w:val="auto"/>
          <w:szCs w:val="22"/>
          <w:highlight w:val="none"/>
        </w:rPr>
        <w:t>（17）</w:t>
      </w:r>
      <w:r>
        <w:rPr>
          <w:rFonts w:hint="eastAsia" w:ascii="Times New Roman" w:hAnsi="Times New Roman" w:eastAsia="宋体" w:cs="Times New Roman"/>
          <w:b/>
          <w:bCs/>
          <w:color w:val="auto"/>
          <w:kern w:val="0"/>
          <w:szCs w:val="22"/>
          <w:highlight w:val="none"/>
          <w:lang w:bidi="ar"/>
        </w:rPr>
        <w:t>承包人应负责现有完工工程的保护工作（包含设备），若因承包人未做好保护措施造成的损失，由承包人承担。</w:t>
      </w:r>
    </w:p>
    <w:p w14:paraId="64E58594">
      <w:pPr>
        <w:spacing w:line="360" w:lineRule="auto"/>
        <w:ind w:firstLine="420" w:firstLineChars="200"/>
        <w:rPr>
          <w:rFonts w:hint="eastAsia" w:ascii="Times New Roman" w:hAnsi="Times New Roman" w:eastAsia="宋体" w:cs="Times New Roman"/>
          <w:color w:val="auto"/>
          <w:kern w:val="0"/>
          <w:szCs w:val="22"/>
          <w:highlight w:val="none"/>
          <w:lang w:bidi="ar"/>
        </w:rPr>
      </w:pPr>
      <w:r>
        <w:rPr>
          <w:rFonts w:hint="eastAsia" w:ascii="Times New Roman" w:hAnsi="Times New Roman" w:eastAsia="宋体" w:cs="Times New Roman"/>
          <w:color w:val="auto"/>
          <w:kern w:val="0"/>
          <w:szCs w:val="22"/>
          <w:highlight w:val="none"/>
          <w:lang w:bidi="ar"/>
        </w:rPr>
        <w:t>（18）承包人应做好防雷电、防火等的安全防护工作；承担施工现场和施工人员的治安、环境卫生、计生、外来人员暂住手续等管理工作和相关费用；若发生任何事故，均由承包人全部负责。</w:t>
      </w:r>
    </w:p>
    <w:p w14:paraId="0517A5B7">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（19）承包人应按照《保障农民工工资支付条例》、</w:t>
      </w:r>
      <w:r>
        <w:rPr>
          <w:rFonts w:hint="eastAsia" w:ascii="宋体" w:hAnsi="宋体" w:eastAsia="宋体" w:cs="Times New Roman"/>
          <w:color w:val="auto"/>
          <w:szCs w:val="21"/>
          <w:highlight w:val="none"/>
        </w:rPr>
        <w:t>福建省人力资源和社会保障厅等九部门关于印发《福建省工程建设领域农民工工资专用账户管理实施细则》的通知（闽人社发〔2021〕3号）、福建省人力资源和社会保障厅等七部门关于印发《福建省工程建设领域农民工工资保证金管理实施办法》的通知（闽人社发〔2024〕4号）、</w:t>
      </w:r>
      <w:r>
        <w:rPr>
          <w:rFonts w:hint="eastAsia" w:ascii="宋体" w:hAnsi="宋体" w:eastAsia="宋体" w:cs="Times New Roman"/>
          <w:color w:val="auto"/>
          <w:szCs w:val="21"/>
          <w:highlight w:val="none"/>
        </w:rPr>
        <w:t>《关于转发福建省人力资源和社会保障厅等六部门&lt;关于转发福建省工程建设领域农民工工资保证金管理实施办法的通知&gt;的通知》（莆市水利函 〔2022〕14 号）、《关于转发福建省人力资源和社会保障厅等九部门&lt;关于印发福建省工程建设 领域农民工工资专用账户管理实施细则的通知&gt;的通知》（莆治欠办发〔2021〕19 号）、《莆田市根治拖欠农民工工资工作领导小组办公室关于转发&lt;福建省工程建设领域保障农民工工资支付规范化管理指导手册（第二版）&gt;的通知》（莆治欠办发〔2022〕20 号） 、莆田市根治拖欠农民工工资工作领导小组办公室关于印发《深化工程建设领域农民工工资支付工作十三条措施》的通知（莆治欠办发〔2024〕2号）等相关文件执行，若合同期间有新的相关文件颁发则按相关新文件执行，采用新标准、新规范所增加的费用由承包人承担，确保农民工工资及时发放到位，若承包人存在拖欠农民工工资的情形造成相关的信访纠纷问题，则发包人有权暂缓支付工程款。</w:t>
      </w:r>
    </w:p>
    <w:p w14:paraId="3A8AE648">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（20）</w:t>
      </w:r>
      <w:r>
        <w:rPr>
          <w:rFonts w:hint="eastAsia" w:ascii="宋体" w:hAnsi="宋体" w:eastAsia="宋体" w:cs="Times New Roman"/>
          <w:color w:val="auto"/>
          <w:szCs w:val="21"/>
          <w:highlight w:val="none"/>
          <w:u w:val="single"/>
        </w:rPr>
        <w:t>若因规划调整、上级指令、政策变化、土地利用等原因导致项目建设内容调整或者无法继续实施或者需要进行甩项时，承包人应无条件配合发包人要求调整或解除合同，已完成工作量按实结算，互不索赔、互不追究违约责任</w:t>
      </w:r>
      <w:r>
        <w:rPr>
          <w:rFonts w:hint="eastAsia" w:ascii="宋体" w:hAnsi="宋体" w:eastAsia="宋体" w:cs="Times New Roman"/>
          <w:color w:val="auto"/>
          <w:szCs w:val="21"/>
          <w:highlight w:val="none"/>
        </w:rPr>
        <w:t>。</w:t>
      </w:r>
    </w:p>
    <w:p w14:paraId="5E57F327">
      <w:pPr>
        <w:adjustRightInd w:val="0"/>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）4.1.10.2承担施工安全保卫工作及非夜间施工照明的责任和要求：</w:t>
      </w:r>
      <w:r>
        <w:rPr>
          <w:rFonts w:hint="eastAsia" w:ascii="宋体" w:hAnsi="宋体" w:eastAsia="宋体" w:cs="宋体"/>
          <w:color w:val="auto"/>
          <w:szCs w:val="21"/>
          <w:highlight w:val="none"/>
          <w:u w:val="single"/>
        </w:rPr>
        <w:t>承包人按有关政策文件规定，满足安全保卫工作及非夜间施工照明的需要，夜间安全保卫工作的照明工作所发生费用自负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lang w:bidi="ar"/>
        </w:rPr>
        <w:t>①时刻关注和采取适当措施保障所有在场工作人员的安全，保证工程施工安全，现场施工应当保持有条不紊，避免施工现场所有人员的安全受到威胁；②为了保护本合同工程免遭损坏，以及为了现场附近和过往群众的安全与方便，在必要的时候和地方，当监理人或项目负责人或有关主管部门要求时，应负责提供照明、警卫、护栅、警告标志等安全防护措施，并承担相应责任；③施工期间，工地发生的由承包人原因引起的一切安全、违法、违规事件，由承包人负责处理并承担一切责任。</w:t>
      </w:r>
    </w:p>
    <w:p w14:paraId="609BB7BC">
      <w:pPr>
        <w:adjustRightInd w:val="0"/>
        <w:snapToGrid w:val="0"/>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）需承包人办理的有关施工场地交通、环卫和施工噪音管理等手续：</w:t>
      </w:r>
      <w:r>
        <w:rPr>
          <w:rFonts w:hint="eastAsia" w:ascii="宋体" w:hAnsi="宋体" w:eastAsia="宋体" w:cs="宋体"/>
          <w:color w:val="auto"/>
          <w:szCs w:val="21"/>
          <w:highlight w:val="none"/>
          <w:u w:val="single"/>
        </w:rPr>
        <w:t>由承包人负责按有关规定办理，有关施工场地交通、环卫和施工噪音管理方面的法律责任由承包人承担</w:t>
      </w:r>
      <w:r>
        <w:rPr>
          <w:rFonts w:hint="eastAsia" w:ascii="宋体" w:hAnsi="宋体" w:eastAsia="宋体" w:cs="宋体"/>
          <w:color w:val="auto"/>
          <w:szCs w:val="21"/>
          <w:highlight w:val="none"/>
        </w:rPr>
        <w:t>。</w:t>
      </w:r>
    </w:p>
    <w:p w14:paraId="4B9DCCA3">
      <w:pPr>
        <w:snapToGrid w:val="0"/>
        <w:spacing w:line="440" w:lineRule="exact"/>
        <w:ind w:firstLine="470" w:firstLineChars="224"/>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）已完工程成品保护的特殊要求及费用承担：</w:t>
      </w:r>
      <w:r>
        <w:rPr>
          <w:rFonts w:hint="eastAsia" w:ascii="宋体" w:hAnsi="宋体" w:eastAsia="宋体" w:cs="宋体"/>
          <w:color w:val="auto"/>
          <w:szCs w:val="21"/>
          <w:highlight w:val="none"/>
          <w:u w:val="single"/>
        </w:rPr>
        <w:t>本工程已交接工作面的工程成品、半成品，经发包人与监理工程师验收合格后，由承包人无偿保护。由发包人另行购置或委托施工的成品、半成品，由发包人负责保护。承包人自行施工部分凡发生损坏、丢失，承包人应予以赔偿，并不得有异议，保护期至工程移交止。在工程正式（完工）验收前，已完工程成品在（完工）验收并工程移交前由承包人负责工程维护、保洁、安全工作，其费用已包括在预算价款中。（完工）通过验收并移交后的工程维护、保洁、安全工作，其费用由发包人负责</w:t>
      </w:r>
      <w:r>
        <w:rPr>
          <w:rFonts w:hint="eastAsia" w:ascii="宋体" w:hAnsi="宋体" w:eastAsia="宋体" w:cs="宋体"/>
          <w:color w:val="auto"/>
          <w:szCs w:val="21"/>
          <w:highlight w:val="none"/>
        </w:rPr>
        <w:t>。</w:t>
      </w:r>
    </w:p>
    <w:p w14:paraId="1FDCA6EC">
      <w:pPr>
        <w:snapToGrid w:val="0"/>
        <w:spacing w:line="440" w:lineRule="exact"/>
        <w:ind w:firstLine="470" w:firstLineChars="224"/>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）施工场地周围地下管线和邻近建筑物、构筑物（含文物保护建筑）、古树名木的保护要求及费用承担：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bidi="ar"/>
        </w:rPr>
        <w:t>承包人应当详细了解施工场地周围地下管线和邻近建筑物、构筑物（含文物保护建筑）、古树名木的保护要求，采取适当措施予以保护，产生的费用由承包人承担，发包人不再另行支付；若承包人保护不力而发生事故，则一切责任及经济损失由承包人承担，工期不予顺延，并使发包人免受任何损失，包括经济损失和名誉损害。</w:t>
      </w:r>
    </w:p>
    <w:p w14:paraId="0E3A38E6">
      <w:pPr>
        <w:spacing w:line="360" w:lineRule="auto"/>
        <w:ind w:firstLine="420" w:firstLineChars="200"/>
        <w:rPr>
          <w:rFonts w:hint="eastAsia" w:ascii="Times New Roman" w:hAnsi="宋体" w:eastAsia="宋体" w:cs="宋体"/>
          <w:color w:val="auto"/>
          <w:szCs w:val="22"/>
          <w:highlight w:val="none"/>
        </w:rPr>
      </w:pPr>
    </w:p>
    <w:p w14:paraId="591050BD">
      <w:pPr>
        <w:keepNext/>
        <w:keepLines/>
        <w:adjustRightInd w:val="0"/>
        <w:snapToGrid w:val="0"/>
        <w:spacing w:line="360" w:lineRule="auto"/>
        <w:outlineLvl w:val="3"/>
        <w:rPr>
          <w:rFonts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4.2履约担保</w:t>
      </w:r>
    </w:p>
    <w:p w14:paraId="5F7D1D1C">
      <w:pPr>
        <w:spacing w:line="360" w:lineRule="auto"/>
        <w:jc w:val="left"/>
        <w:rPr>
          <w:rFonts w:hint="eastAsia" w:ascii="Times New Roman" w:hAnsi="Times New Roman" w:eastAsia="宋体" w:cs="Times New Roman"/>
          <w:color w:val="auto"/>
          <w:kern w:val="0"/>
          <w:szCs w:val="22"/>
          <w:highlight w:val="none"/>
          <w:lang w:bidi="ar"/>
        </w:rPr>
      </w:pPr>
      <w:r>
        <w:rPr>
          <w:rFonts w:hint="eastAsia" w:ascii="Times New Roman" w:hAnsi="Times New Roman" w:eastAsia="宋体" w:cs="Times New Roman"/>
          <w:color w:val="auto"/>
          <w:kern w:val="0"/>
          <w:szCs w:val="22"/>
          <w:highlight w:val="none"/>
          <w:lang w:bidi="ar"/>
        </w:rPr>
        <w:t>承包人是否提供履约担保：提供。</w:t>
      </w:r>
    </w:p>
    <w:p w14:paraId="29ADC2CD">
      <w:pPr>
        <w:spacing w:line="360" w:lineRule="auto"/>
        <w:jc w:val="left"/>
        <w:rPr>
          <w:rFonts w:hint="eastAsia" w:ascii="Times New Roman" w:hAnsi="Times New Roman" w:eastAsia="宋体" w:cs="Times New Roman"/>
          <w:color w:val="auto"/>
          <w:kern w:val="0"/>
          <w:szCs w:val="22"/>
          <w:highlight w:val="none"/>
          <w:lang w:bidi="ar"/>
        </w:rPr>
      </w:pPr>
      <w:r>
        <w:rPr>
          <w:rFonts w:hint="eastAsia" w:ascii="Times New Roman" w:hAnsi="Times New Roman" w:eastAsia="宋体" w:cs="Times New Roman"/>
          <w:color w:val="auto"/>
          <w:kern w:val="0"/>
          <w:szCs w:val="22"/>
          <w:highlight w:val="none"/>
          <w:lang w:bidi="ar"/>
        </w:rPr>
        <w:t>承包人提供履约担保的形式、金额及期限的：</w:t>
      </w:r>
    </w:p>
    <w:p w14:paraId="2B1D34D5">
      <w:pPr>
        <w:spacing w:line="360" w:lineRule="auto"/>
        <w:rPr>
          <w:rFonts w:hint="eastAsia" w:ascii="Times New Roman" w:hAnsi="Times New Roman" w:eastAsia="宋体" w:cs="Times New Roman"/>
          <w:color w:val="auto"/>
          <w:kern w:val="0"/>
          <w:szCs w:val="22"/>
          <w:highlight w:val="none"/>
          <w:lang w:bidi="ar"/>
        </w:rPr>
      </w:pPr>
      <w:r>
        <w:rPr>
          <w:rFonts w:hint="eastAsia" w:ascii="Times New Roman" w:hAnsi="Times New Roman" w:eastAsia="宋体" w:cs="Times New Roman"/>
          <w:color w:val="auto"/>
          <w:kern w:val="0"/>
          <w:szCs w:val="22"/>
          <w:highlight w:val="none"/>
          <w:lang w:bidi="ar"/>
        </w:rPr>
        <w:t xml:space="preserve">    承包人在收到中标通知书后</w:t>
      </w:r>
      <w:r>
        <w:rPr>
          <w:rFonts w:hint="eastAsia" w:ascii="Times New Roman" w:hAnsi="Times New Roman" w:eastAsia="宋体" w:cs="Times New Roman"/>
          <w:color w:val="auto"/>
          <w:kern w:val="0"/>
          <w:szCs w:val="22"/>
          <w:highlight w:val="none"/>
          <w:lang w:bidi="ar"/>
        </w:rPr>
        <w:t>7</w:t>
      </w:r>
      <w:r>
        <w:rPr>
          <w:rFonts w:hint="eastAsia" w:ascii="Times New Roman" w:hAnsi="Times New Roman" w:eastAsia="宋体" w:cs="Times New Roman"/>
          <w:color w:val="auto"/>
          <w:kern w:val="0"/>
          <w:szCs w:val="22"/>
          <w:highlight w:val="none"/>
          <w:lang w:bidi="ar"/>
        </w:rPr>
        <w:t>日内以现金或保险保函或担保保函或银行保函方式提交履约担保。金额为中标合同金额</w:t>
      </w:r>
      <w:r>
        <w:rPr>
          <w:rFonts w:hint="eastAsia" w:ascii="Times New Roman" w:hAnsi="Times New Roman" w:eastAsia="宋体" w:cs="Times New Roman"/>
          <w:color w:val="auto"/>
          <w:kern w:val="0"/>
          <w:szCs w:val="22"/>
          <w:highlight w:val="none"/>
          <w:lang w:val="en-US" w:eastAsia="zh-CN" w:bidi="ar"/>
        </w:rPr>
        <w:t>的</w:t>
      </w:r>
      <w:r>
        <w:rPr>
          <w:rFonts w:hint="eastAsia" w:ascii="Times New Roman" w:hAnsi="Times New Roman" w:eastAsia="宋体" w:cs="Times New Roman"/>
          <w:color w:val="auto"/>
          <w:kern w:val="0"/>
          <w:szCs w:val="22"/>
          <w:highlight w:val="none"/>
          <w:lang w:bidi="ar"/>
        </w:rPr>
        <w:t>10 %</w:t>
      </w:r>
      <w:r>
        <w:rPr>
          <w:rFonts w:hint="eastAsia" w:ascii="Times New Roman" w:hAnsi="Times New Roman" w:eastAsia="宋体" w:cs="Times New Roman"/>
          <w:color w:val="auto"/>
          <w:kern w:val="0"/>
          <w:szCs w:val="22"/>
          <w:highlight w:val="none"/>
          <w:lang w:val="en-US" w:eastAsia="zh-CN" w:bidi="ar"/>
        </w:rPr>
        <w:t xml:space="preserve"> </w:t>
      </w:r>
      <w:r>
        <w:rPr>
          <w:rFonts w:hint="eastAsia" w:ascii="Times New Roman" w:hAnsi="Times New Roman" w:eastAsia="宋体" w:cs="Times New Roman"/>
          <w:color w:val="auto"/>
          <w:kern w:val="0"/>
          <w:szCs w:val="22"/>
          <w:highlight w:val="none"/>
          <w:lang w:bidi="ar"/>
        </w:rPr>
        <w:t>。若中承包人使用非现金形式提交履约保证金，则发包人不支付工程合同款10%的预付款。履约保证金以现金形式递交的，应由承包人企业基本账户转到发包人指定银行账户。以现金方式交纳的履约保证金的有效期应当截止到工程承包合同规定的工程交工验收合格之日；采用非现金形式的，保函有效期必须延续到工程完工验收合格后28天内。若银行保函时效没有达到上述规定，必须补足时效。否则，发包人暂停支付工程进度款。承包人采用现金的，履约保证金在工程完工验收合格后28日内一次性无息返还。</w:t>
      </w:r>
    </w:p>
    <w:p w14:paraId="509BA40E">
      <w:pPr>
        <w:spacing w:line="500" w:lineRule="exact"/>
        <w:ind w:firstLine="422" w:firstLineChars="200"/>
        <w:rPr>
          <w:rFonts w:hint="eastAsia" w:ascii="Times New Roman" w:hAnsi="Times New Roman" w:eastAsia="宋体" w:cs="Times New Roman"/>
          <w:b/>
          <w:bCs/>
          <w:color w:val="auto"/>
          <w:kern w:val="0"/>
          <w:szCs w:val="22"/>
          <w:highlight w:val="none"/>
          <w:lang w:bidi="ar"/>
        </w:rPr>
      </w:pPr>
      <w:r>
        <w:rPr>
          <w:rFonts w:hint="eastAsia" w:ascii="Times New Roman" w:hAnsi="Times New Roman" w:eastAsia="宋体" w:cs="Times New Roman"/>
          <w:b/>
          <w:bCs/>
          <w:color w:val="auto"/>
          <w:kern w:val="0"/>
          <w:szCs w:val="22"/>
          <w:highlight w:val="none"/>
          <w:lang w:bidi="ar"/>
        </w:rPr>
        <w:t>过期或未按期交：履约保函有效期截止日前一个月内，承包人需提供等额内容的新履约保函，如若承包人自有效期截止日前</w:t>
      </w:r>
      <w:r>
        <w:rPr>
          <w:rFonts w:hint="eastAsia" w:ascii="Times New Roman" w:hAnsi="Times New Roman" w:eastAsia="宋体" w:cs="Times New Roman"/>
          <w:b/>
          <w:bCs/>
          <w:color w:val="auto"/>
          <w:kern w:val="0"/>
          <w:szCs w:val="22"/>
          <w:highlight w:val="none"/>
          <w:lang w:val="en-US" w:eastAsia="zh-CN" w:bidi="ar"/>
        </w:rPr>
        <w:t>7天内</w:t>
      </w:r>
      <w:r>
        <w:rPr>
          <w:rFonts w:hint="eastAsia" w:ascii="Times New Roman" w:hAnsi="Times New Roman" w:eastAsia="宋体" w:cs="Times New Roman"/>
          <w:b/>
          <w:bCs/>
          <w:color w:val="auto"/>
          <w:kern w:val="0"/>
          <w:szCs w:val="22"/>
          <w:highlight w:val="none"/>
          <w:lang w:bidi="ar"/>
        </w:rPr>
        <w:t>未提供新履约保函，</w:t>
      </w:r>
      <w:r>
        <w:rPr>
          <w:rFonts w:hint="eastAsia" w:ascii="Times New Roman" w:hAnsi="Times New Roman" w:eastAsia="宋体" w:cs="Times New Roman"/>
          <w:b/>
          <w:bCs/>
          <w:color w:val="auto"/>
          <w:kern w:val="0"/>
          <w:szCs w:val="22"/>
          <w:highlight w:val="none"/>
          <w:lang w:eastAsia="zh-CN" w:bidi="ar"/>
        </w:rPr>
        <w:t>保函开具单位</w:t>
      </w:r>
      <w:r>
        <w:rPr>
          <w:rFonts w:hint="eastAsia" w:ascii="Times New Roman" w:hAnsi="Times New Roman" w:eastAsia="宋体" w:cs="Times New Roman"/>
          <w:b/>
          <w:bCs/>
          <w:color w:val="auto"/>
          <w:kern w:val="0"/>
          <w:szCs w:val="22"/>
          <w:highlight w:val="none"/>
          <w:lang w:bidi="ar"/>
        </w:rPr>
        <w:t>收到发包人书面通知后，无条件地在７天内予以支付。因政策性、征地拆迁等原因，造成项目工期拖延的，承包人需无条件出具延期新履约保函,承包人未提供新履约保函，自有效期截止日前</w:t>
      </w:r>
      <w:r>
        <w:rPr>
          <w:rFonts w:hint="eastAsia" w:ascii="Times New Roman" w:hAnsi="Times New Roman" w:eastAsia="宋体" w:cs="Times New Roman"/>
          <w:b/>
          <w:bCs/>
          <w:color w:val="auto"/>
          <w:kern w:val="0"/>
          <w:szCs w:val="22"/>
          <w:highlight w:val="none"/>
          <w:lang w:val="en-US" w:eastAsia="zh-CN" w:bidi="ar"/>
        </w:rPr>
        <w:t>7天内</w:t>
      </w:r>
      <w:r>
        <w:rPr>
          <w:rFonts w:hint="eastAsia" w:ascii="Times New Roman" w:hAnsi="Times New Roman" w:eastAsia="宋体" w:cs="Times New Roman"/>
          <w:b/>
          <w:bCs/>
          <w:color w:val="auto"/>
          <w:kern w:val="0"/>
          <w:szCs w:val="22"/>
          <w:highlight w:val="none"/>
          <w:lang w:bidi="ar"/>
        </w:rPr>
        <w:t>未提供新履约保函，</w:t>
      </w:r>
      <w:r>
        <w:rPr>
          <w:rFonts w:hint="eastAsia" w:ascii="Times New Roman" w:hAnsi="Times New Roman" w:eastAsia="宋体" w:cs="Times New Roman"/>
          <w:b/>
          <w:bCs/>
          <w:color w:val="auto"/>
          <w:kern w:val="0"/>
          <w:szCs w:val="22"/>
          <w:highlight w:val="none"/>
          <w:lang w:eastAsia="zh-CN" w:bidi="ar"/>
        </w:rPr>
        <w:t>保函开具单位</w:t>
      </w:r>
      <w:r>
        <w:rPr>
          <w:rFonts w:hint="eastAsia" w:ascii="Times New Roman" w:hAnsi="Times New Roman" w:eastAsia="宋体" w:cs="Times New Roman"/>
          <w:b/>
          <w:bCs/>
          <w:color w:val="auto"/>
          <w:kern w:val="0"/>
          <w:szCs w:val="22"/>
          <w:highlight w:val="none"/>
          <w:lang w:bidi="ar"/>
        </w:rPr>
        <w:t>收到发包人书面通知后，无条件地在７天内予以支付。</w:t>
      </w:r>
    </w:p>
    <w:p w14:paraId="71FFB25E">
      <w:pPr>
        <w:keepNext/>
        <w:keepLines/>
        <w:adjustRightInd w:val="0"/>
        <w:snapToGrid w:val="0"/>
        <w:spacing w:line="520" w:lineRule="exact"/>
        <w:outlineLvl w:val="3"/>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4.3 分包</w:t>
      </w:r>
      <w:bookmarkEnd w:id="147"/>
      <w:bookmarkEnd w:id="148"/>
      <w:bookmarkEnd w:id="149"/>
    </w:p>
    <w:p w14:paraId="659E3084">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150" w:name="_Toc221951154"/>
      <w:r>
        <w:rPr>
          <w:rFonts w:hint="eastAsia" w:ascii="宋体" w:hAnsi="宋体" w:eastAsia="宋体" w:cs="Times New Roman"/>
          <w:color w:val="auto"/>
          <w:szCs w:val="21"/>
          <w:highlight w:val="none"/>
        </w:rPr>
        <w:t>4.3.2 允许承包人分包的工程项目、工作内容与分包金额限额为：</w:t>
      </w:r>
      <w:bookmarkEnd w:id="150"/>
    </w:p>
    <w:p w14:paraId="2AAB248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151" w:name="_Toc221951155"/>
      <w:r>
        <w:rPr>
          <w:rFonts w:hint="eastAsia" w:ascii="宋体" w:hAnsi="宋体" w:eastAsia="宋体" w:cs="Times New Roman"/>
          <w:color w:val="auto"/>
          <w:szCs w:val="21"/>
          <w:highlight w:val="none"/>
        </w:rPr>
        <w:t>（1）工程项目</w:t>
      </w:r>
      <w:bookmarkEnd w:id="151"/>
      <w:bookmarkStart w:id="152" w:name="_Toc221951156"/>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___</w:t>
      </w:r>
      <w:r>
        <w:rPr>
          <w:rFonts w:hint="eastAsia" w:ascii="宋体" w:hAnsi="宋体" w:eastAsia="宋体" w:cs="Times New Roman"/>
          <w:color w:val="auto"/>
          <w:szCs w:val="21"/>
          <w:highlight w:val="none"/>
        </w:rPr>
        <w:t>。</w:t>
      </w:r>
    </w:p>
    <w:p w14:paraId="39F8659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（2）工作内容：</w:t>
      </w:r>
      <w:bookmarkEnd w:id="152"/>
      <w:r>
        <w:rPr>
          <w:rFonts w:ascii="宋体" w:hAnsi="宋体" w:eastAsia="宋体" w:cs="Times New Roman"/>
          <w:color w:val="auto"/>
          <w:szCs w:val="21"/>
          <w:highlight w:val="none"/>
        </w:rPr>
        <w:t>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p>
    <w:p w14:paraId="1B9E0FDA">
      <w:pPr>
        <w:widowControl/>
        <w:shd w:val="clear" w:color="auto" w:fill="FFFFFF"/>
        <w:snapToGrid w:val="0"/>
        <w:spacing w:line="520" w:lineRule="exact"/>
        <w:ind w:firstLine="420" w:firstLineChars="200"/>
        <w:jc w:val="left"/>
        <w:rPr>
          <w:rFonts w:hint="eastAsia" w:ascii="宋体" w:hAnsi="宋体" w:eastAsia="宋体" w:cs="Times New Roman"/>
          <w:color w:val="auto"/>
          <w:szCs w:val="21"/>
          <w:highlight w:val="none"/>
        </w:rPr>
      </w:pPr>
      <w:bookmarkStart w:id="153" w:name="_Toc221951157"/>
      <w:r>
        <w:rPr>
          <w:rFonts w:hint="eastAsia" w:ascii="宋体" w:hAnsi="宋体" w:eastAsia="宋体" w:cs="Times New Roman"/>
          <w:color w:val="auto"/>
          <w:szCs w:val="21"/>
          <w:highlight w:val="none"/>
        </w:rPr>
        <w:t>（3）分包金额限额：</w:t>
      </w:r>
      <w:bookmarkEnd w:id="153"/>
      <w:r>
        <w:rPr>
          <w:rFonts w:ascii="宋体" w:hAnsi="宋体" w:eastAsia="宋体" w:cs="Times New Roman"/>
          <w:color w:val="auto"/>
          <w:szCs w:val="21"/>
          <w:highlight w:val="none"/>
        </w:rPr>
        <w:t>___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___</w:t>
      </w:r>
      <w:r>
        <w:rPr>
          <w:rFonts w:hint="eastAsia" w:ascii="宋体" w:hAnsi="宋体" w:eastAsia="宋体" w:cs="Times New Roman"/>
          <w:color w:val="auto"/>
          <w:szCs w:val="21"/>
          <w:highlight w:val="none"/>
        </w:rPr>
        <w:t>。</w:t>
      </w:r>
    </w:p>
    <w:p w14:paraId="34F1252B">
      <w:pPr>
        <w:widowControl/>
        <w:shd w:val="clear" w:color="auto" w:fill="FFFFFF"/>
        <w:snapToGrid w:val="0"/>
        <w:spacing w:line="520" w:lineRule="exact"/>
        <w:ind w:firstLine="420" w:firstLineChars="200"/>
        <w:jc w:val="left"/>
        <w:rPr>
          <w:rFonts w:hint="eastAsia" w:ascii="宋体" w:hAnsi="宋体" w:eastAsia="宋体" w:cs="Times New Roman"/>
          <w:color w:val="auto"/>
          <w:szCs w:val="21"/>
          <w:highlight w:val="none"/>
        </w:rPr>
      </w:pPr>
      <w:r>
        <w:rPr>
          <w:rFonts w:hint="eastAsia" w:ascii="Times New Roman" w:hAnsi="Times New Roman" w:eastAsia="宋体" w:cs="Times New Roman"/>
          <w:color w:val="auto"/>
          <w:szCs w:val="21"/>
          <w:highlight w:val="none"/>
          <w:u w:val="single"/>
        </w:rPr>
        <w:t>本工程不允许分包（特殊行业不得不分包的除外，但应符合《中华人民共和国建筑法》和《中华人民共和国招标投标法》的规定）。承包人也不得将其承包的全部工程转包给第三人</w:t>
      </w:r>
      <w:r>
        <w:rPr>
          <w:rFonts w:hint="eastAsia" w:ascii="宋体" w:hAnsi="宋体" w:eastAsia="宋体" w:cs="Times New Roman"/>
          <w:color w:val="auto"/>
          <w:szCs w:val="21"/>
          <w:highlight w:val="none"/>
        </w:rPr>
        <w:t>。</w:t>
      </w:r>
    </w:p>
    <w:p w14:paraId="2115E41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4.3.10 分包人项目管理机构的设立：</w:t>
      </w:r>
      <w:bookmarkStart w:id="154" w:name="_Toc221951158"/>
      <w:bookmarkStart w:id="155" w:name="_Toc262637993"/>
      <w:r>
        <w:rPr>
          <w:rFonts w:ascii="宋体" w:hAnsi="宋体" w:eastAsia="宋体" w:cs="Times New Roman"/>
          <w:color w:val="auto"/>
          <w:szCs w:val="21"/>
          <w:highlight w:val="none"/>
        </w:rPr>
        <w:t>___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____</w:t>
      </w:r>
      <w:r>
        <w:rPr>
          <w:rFonts w:hint="eastAsia" w:ascii="宋体" w:hAnsi="宋体" w:eastAsia="宋体" w:cs="Times New Roman"/>
          <w:color w:val="auto"/>
          <w:szCs w:val="21"/>
          <w:highlight w:val="none"/>
        </w:rPr>
        <w:t>。</w:t>
      </w:r>
    </w:p>
    <w:p w14:paraId="3EDE0405">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156" w:name="_Toc511635991"/>
      <w:r>
        <w:rPr>
          <w:rFonts w:ascii="宋体" w:hAnsi="宋体" w:eastAsia="宋体" w:cs="Times New Roman"/>
          <w:b/>
          <w:bCs/>
          <w:color w:val="auto"/>
          <w:sz w:val="28"/>
          <w:szCs w:val="28"/>
          <w:highlight w:val="none"/>
        </w:rPr>
        <w:t>4</w:t>
      </w:r>
      <w:r>
        <w:rPr>
          <w:rFonts w:hint="eastAsia" w:ascii="宋体" w:hAnsi="宋体" w:eastAsia="宋体" w:cs="Times New Roman"/>
          <w:b/>
          <w:bCs/>
          <w:color w:val="auto"/>
          <w:sz w:val="28"/>
          <w:szCs w:val="28"/>
          <w:highlight w:val="none"/>
        </w:rPr>
        <w:t>.</w:t>
      </w:r>
      <w:r>
        <w:rPr>
          <w:rFonts w:ascii="宋体" w:hAnsi="宋体" w:eastAsia="宋体" w:cs="Times New Roman"/>
          <w:b/>
          <w:bCs/>
          <w:color w:val="auto"/>
          <w:sz w:val="28"/>
          <w:szCs w:val="28"/>
          <w:highlight w:val="none"/>
        </w:rPr>
        <w:t xml:space="preserve">11 </w:t>
      </w:r>
      <w:r>
        <w:rPr>
          <w:rFonts w:hint="eastAsia" w:ascii="宋体" w:hAnsi="宋体" w:eastAsia="宋体" w:cs="Times New Roman"/>
          <w:b/>
          <w:bCs/>
          <w:color w:val="auto"/>
          <w:sz w:val="28"/>
          <w:szCs w:val="28"/>
          <w:highlight w:val="none"/>
        </w:rPr>
        <w:t>不利物质条件</w:t>
      </w:r>
      <w:bookmarkEnd w:id="154"/>
      <w:bookmarkEnd w:id="155"/>
      <w:bookmarkEnd w:id="156"/>
    </w:p>
    <w:p w14:paraId="1AB2307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157" w:name="_Toc221951159"/>
      <w:r>
        <w:rPr>
          <w:rFonts w:hint="eastAsia" w:ascii="宋体" w:hAnsi="宋体" w:eastAsia="宋体" w:cs="Times New Roman"/>
          <w:color w:val="auto"/>
          <w:szCs w:val="21"/>
          <w:highlight w:val="none"/>
        </w:rPr>
        <w:t>4.11.1 不利物质条件的范围：</w:t>
      </w:r>
      <w:bookmarkEnd w:id="157"/>
      <w:r>
        <w:rPr>
          <w:rFonts w:ascii="宋体" w:hAnsi="宋体" w:eastAsia="宋体" w:cs="Times New Roman"/>
          <w:color w:val="auto"/>
          <w:szCs w:val="21"/>
          <w:highlight w:val="none"/>
        </w:rPr>
        <w:t>_____________________</w:t>
      </w:r>
      <w:r>
        <w:rPr>
          <w:rFonts w:hint="eastAsia" w:ascii="宋体" w:hAnsi="宋体" w:eastAsia="宋体" w:cs="Times New Roman"/>
          <w:color w:val="auto"/>
          <w:szCs w:val="21"/>
          <w:highlight w:val="none"/>
        </w:rPr>
        <w:t>。</w:t>
      </w:r>
    </w:p>
    <w:p w14:paraId="4B748A95">
      <w:pPr>
        <w:keepNext/>
        <w:keepLines/>
        <w:adjustRightInd w:val="0"/>
        <w:snapToGrid w:val="0"/>
        <w:spacing w:line="520" w:lineRule="exact"/>
        <w:jc w:val="left"/>
        <w:outlineLvl w:val="2"/>
        <w:rPr>
          <w:rFonts w:hint="eastAsia" w:ascii="宋体" w:hAnsi="宋体" w:eastAsia="宋体" w:cs="Times New Roman"/>
          <w:b/>
          <w:bCs/>
          <w:color w:val="auto"/>
          <w:sz w:val="28"/>
          <w:szCs w:val="28"/>
          <w:highlight w:val="none"/>
        </w:rPr>
      </w:pPr>
      <w:bookmarkStart w:id="158" w:name="_Toc7185610"/>
      <w:bookmarkStart w:id="159" w:name="_Toc222032700"/>
      <w:bookmarkStart w:id="160" w:name="_Toc222029531"/>
      <w:bookmarkStart w:id="161" w:name="_Toc222031033"/>
      <w:bookmarkStart w:id="162" w:name="_Toc17458"/>
      <w:bookmarkStart w:id="163" w:name="_Toc13086"/>
      <w:bookmarkStart w:id="164" w:name="_Toc256000230"/>
      <w:bookmarkStart w:id="165" w:name="_Toc256000111"/>
      <w:bookmarkStart w:id="166" w:name="_Toc221951160"/>
      <w:bookmarkStart w:id="167" w:name="_Toc256000159"/>
      <w:bookmarkStart w:id="168" w:name="_Toc35605769"/>
      <w:bookmarkStart w:id="169" w:name="_Toc515441165"/>
      <w:bookmarkStart w:id="170" w:name="_Toc229305391"/>
      <w:bookmarkStart w:id="171" w:name="_Toc23894"/>
      <w:bookmarkStart w:id="172" w:name="_Toc516816168"/>
      <w:bookmarkStart w:id="173" w:name="_Toc487489979"/>
      <w:bookmarkStart w:id="174" w:name="_Toc256000131"/>
      <w:bookmarkStart w:id="175" w:name="_Toc511635992"/>
      <w:bookmarkStart w:id="176" w:name="_Toc222033882"/>
      <w:r>
        <w:rPr>
          <w:rFonts w:hint="eastAsia" w:ascii="宋体" w:hAnsi="宋体" w:eastAsia="宋体" w:cs="Times New Roman"/>
          <w:b/>
          <w:bCs/>
          <w:color w:val="auto"/>
          <w:sz w:val="28"/>
          <w:szCs w:val="28"/>
          <w:highlight w:val="none"/>
        </w:rPr>
        <w:t>5 材料和工程设备</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4ECC7B2A">
      <w:pPr>
        <w:keepNext/>
        <w:keepLines/>
        <w:adjustRightInd w:val="0"/>
        <w:snapToGrid w:val="0"/>
        <w:spacing w:line="520" w:lineRule="exact"/>
        <w:jc w:val="left"/>
        <w:outlineLvl w:val="2"/>
        <w:rPr>
          <w:rFonts w:hint="eastAsia" w:ascii="宋体" w:hAnsi="宋体" w:eastAsia="宋体" w:cs="Times New Roman"/>
          <w:b/>
          <w:bCs/>
          <w:color w:val="auto"/>
          <w:sz w:val="28"/>
          <w:szCs w:val="28"/>
          <w:highlight w:val="none"/>
          <w:lang w:val="en-US" w:eastAsia="zh-CN"/>
        </w:rPr>
      </w:pPr>
      <w:bookmarkStart w:id="177" w:name="_Toc256000231"/>
      <w:bookmarkStart w:id="178" w:name="_Toc256000160"/>
      <w:bookmarkStart w:id="179" w:name="_Toc24513"/>
      <w:bookmarkStart w:id="180" w:name="_Toc16953"/>
      <w:bookmarkStart w:id="181" w:name="_Toc18211"/>
      <w:bookmarkStart w:id="182" w:name="_Toc256000132"/>
      <w:r>
        <w:rPr>
          <w:rFonts w:hint="eastAsia" w:ascii="宋体" w:hAnsi="宋体" w:eastAsia="宋体" w:cs="Times New Roman"/>
          <w:b/>
          <w:bCs/>
          <w:color w:val="auto"/>
          <w:sz w:val="28"/>
          <w:szCs w:val="28"/>
          <w:highlight w:val="none"/>
        </w:rPr>
        <w:t>5.1承包人提供的材料和工程设备：</w:t>
      </w:r>
      <w:bookmarkEnd w:id="177"/>
      <w:bookmarkEnd w:id="178"/>
      <w:bookmarkEnd w:id="179"/>
      <w:bookmarkEnd w:id="180"/>
      <w:bookmarkEnd w:id="181"/>
      <w:bookmarkEnd w:id="182"/>
      <w:r>
        <w:rPr>
          <w:rFonts w:hint="eastAsia" w:ascii="宋体" w:hAnsi="宋体" w:cs="Times New Roman"/>
          <w:b/>
          <w:bCs/>
          <w:color w:val="auto"/>
          <w:sz w:val="28"/>
          <w:szCs w:val="28"/>
          <w:highlight w:val="none"/>
          <w:lang w:val="en-US" w:eastAsia="zh-CN"/>
        </w:rPr>
        <w:t>/</w:t>
      </w:r>
    </w:p>
    <w:p w14:paraId="04FC0A80">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183" w:name="_Toc221951161"/>
      <w:bookmarkStart w:id="184" w:name="_Toc511635993"/>
      <w:bookmarkStart w:id="185" w:name="_Toc262637995"/>
      <w:r>
        <w:rPr>
          <w:rFonts w:ascii="宋体" w:hAnsi="宋体" w:eastAsia="宋体" w:cs="Times New Roman"/>
          <w:b/>
          <w:bCs/>
          <w:color w:val="auto"/>
          <w:sz w:val="28"/>
          <w:szCs w:val="28"/>
          <w:highlight w:val="none"/>
        </w:rPr>
        <w:t>5</w:t>
      </w:r>
      <w:r>
        <w:rPr>
          <w:rFonts w:hint="eastAsia" w:ascii="宋体" w:hAnsi="宋体" w:eastAsia="宋体" w:cs="Times New Roman"/>
          <w:b/>
          <w:bCs/>
          <w:color w:val="auto"/>
          <w:sz w:val="28"/>
          <w:szCs w:val="28"/>
          <w:highlight w:val="none"/>
        </w:rPr>
        <w:t>.2</w:t>
      </w:r>
      <w:bookmarkEnd w:id="183"/>
      <w:r>
        <w:rPr>
          <w:rFonts w:hint="eastAsia" w:ascii="宋体" w:hAnsi="宋体" w:eastAsia="宋体" w:cs="Times New Roman"/>
          <w:b/>
          <w:bCs/>
          <w:color w:val="auto"/>
          <w:sz w:val="28"/>
          <w:szCs w:val="28"/>
          <w:highlight w:val="none"/>
        </w:rPr>
        <w:t xml:space="preserve"> 发包人提供的材料和工程设备</w:t>
      </w:r>
      <w:bookmarkEnd w:id="184"/>
      <w:bookmarkEnd w:id="185"/>
    </w:p>
    <w:p w14:paraId="05CF7A24">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5.2.1 发包人提供的材料和工程设备见下表：</w:t>
      </w:r>
    </w:p>
    <w:p w14:paraId="2AF2D1C9">
      <w:pPr>
        <w:widowControl/>
        <w:shd w:val="clear" w:color="auto" w:fill="FFFFFF"/>
        <w:snapToGrid w:val="0"/>
        <w:spacing w:line="520" w:lineRule="exact"/>
        <w:ind w:firstLine="422" w:firstLineChars="200"/>
        <w:jc w:val="center"/>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发包人提供的材料表</w:t>
      </w:r>
      <w:r>
        <w:rPr>
          <w:rFonts w:hint="eastAsia" w:ascii="宋体" w:hAnsi="宋体" w:eastAsia="宋体" w:cs="Times New Roman"/>
          <w:color w:val="auto"/>
          <w:szCs w:val="21"/>
          <w:highlight w:val="none"/>
        </w:rPr>
        <w:t>（参考格式）</w:t>
      </w:r>
    </w:p>
    <w:tbl>
      <w:tblPr>
        <w:tblStyle w:val="17"/>
        <w:tblW w:w="9356"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49"/>
        <w:gridCol w:w="1134"/>
        <w:gridCol w:w="709"/>
        <w:gridCol w:w="1134"/>
        <w:gridCol w:w="1134"/>
        <w:gridCol w:w="2040"/>
        <w:gridCol w:w="1418"/>
      </w:tblGrid>
      <w:tr w14:paraId="1AE50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38" w:type="dxa"/>
            <w:noWrap w:val="0"/>
            <w:vAlign w:val="center"/>
          </w:tcPr>
          <w:p w14:paraId="1BDB4BFF">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149" w:type="dxa"/>
            <w:noWrap w:val="0"/>
            <w:vAlign w:val="center"/>
          </w:tcPr>
          <w:p w14:paraId="31B5D144">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材料名称</w:t>
            </w:r>
          </w:p>
        </w:tc>
        <w:tc>
          <w:tcPr>
            <w:tcW w:w="1134" w:type="dxa"/>
            <w:noWrap w:val="0"/>
            <w:vAlign w:val="center"/>
          </w:tcPr>
          <w:p w14:paraId="79A21442">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材料规格</w:t>
            </w:r>
          </w:p>
        </w:tc>
        <w:tc>
          <w:tcPr>
            <w:tcW w:w="709" w:type="dxa"/>
            <w:noWrap w:val="0"/>
            <w:vAlign w:val="center"/>
          </w:tcPr>
          <w:p w14:paraId="2117A10B">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1134" w:type="dxa"/>
            <w:noWrap w:val="0"/>
            <w:vAlign w:val="center"/>
          </w:tcPr>
          <w:p w14:paraId="718CA72B">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交货地点</w:t>
            </w:r>
          </w:p>
        </w:tc>
        <w:tc>
          <w:tcPr>
            <w:tcW w:w="1134" w:type="dxa"/>
            <w:noWrap w:val="0"/>
            <w:vAlign w:val="center"/>
          </w:tcPr>
          <w:p w14:paraId="60E38461">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交货方式</w:t>
            </w:r>
          </w:p>
        </w:tc>
        <w:tc>
          <w:tcPr>
            <w:tcW w:w="2040" w:type="dxa"/>
            <w:noWrap w:val="0"/>
            <w:vAlign w:val="center"/>
          </w:tcPr>
          <w:p w14:paraId="5DD148E3">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计划交货日期</w:t>
            </w:r>
          </w:p>
        </w:tc>
        <w:tc>
          <w:tcPr>
            <w:tcW w:w="1418" w:type="dxa"/>
            <w:noWrap w:val="0"/>
            <w:vAlign w:val="center"/>
          </w:tcPr>
          <w:p w14:paraId="35A73B35">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178D47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38" w:type="dxa"/>
            <w:noWrap w:val="0"/>
            <w:vAlign w:val="center"/>
          </w:tcPr>
          <w:p w14:paraId="28BC18CF">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49" w:type="dxa"/>
            <w:noWrap w:val="0"/>
            <w:vAlign w:val="center"/>
          </w:tcPr>
          <w:p w14:paraId="1901A3A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64D4FF2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4A718CB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top"/>
          </w:tcPr>
          <w:p w14:paraId="2C05A0F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top"/>
          </w:tcPr>
          <w:p w14:paraId="5D14E8B9">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2040" w:type="dxa"/>
            <w:noWrap w:val="0"/>
            <w:vAlign w:val="top"/>
          </w:tcPr>
          <w:p w14:paraId="3D18993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418" w:type="dxa"/>
            <w:vMerge w:val="restart"/>
            <w:noWrap w:val="0"/>
            <w:vAlign w:val="center"/>
          </w:tcPr>
          <w:p w14:paraId="11F48D1B">
            <w:pPr>
              <w:widowControl/>
              <w:shd w:val="clear" w:color="auto" w:fill="FFFFFF"/>
              <w:snapToGrid w:val="0"/>
              <w:spacing w:line="360" w:lineRule="exact"/>
              <w:rPr>
                <w:rFonts w:ascii="宋体" w:hAnsi="宋体" w:eastAsia="宋体" w:cs="Times New Roman"/>
                <w:color w:val="auto"/>
                <w:szCs w:val="21"/>
                <w:highlight w:val="none"/>
              </w:rPr>
            </w:pPr>
            <w:r>
              <w:rPr>
                <w:rFonts w:hint="eastAsia" w:ascii="Times New Roman" w:hAnsi="Times New Roman" w:eastAsia="宋体" w:cs="Times New Roman"/>
                <w:b/>
                <w:color w:val="auto"/>
                <w:szCs w:val="22"/>
                <w:highlight w:val="none"/>
              </w:rPr>
              <w:t>所有材料、工程设备、临时设施均由施工单位承担</w:t>
            </w:r>
          </w:p>
        </w:tc>
      </w:tr>
      <w:tr w14:paraId="522D0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38" w:type="dxa"/>
            <w:noWrap w:val="0"/>
            <w:vAlign w:val="center"/>
          </w:tcPr>
          <w:p w14:paraId="6EF78001">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49" w:type="dxa"/>
            <w:noWrap w:val="0"/>
            <w:vAlign w:val="center"/>
          </w:tcPr>
          <w:p w14:paraId="2486FD4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7597346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03D2F4A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top"/>
          </w:tcPr>
          <w:p w14:paraId="58E4BD46">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top"/>
          </w:tcPr>
          <w:p w14:paraId="14828D7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2040" w:type="dxa"/>
            <w:noWrap w:val="0"/>
            <w:vAlign w:val="top"/>
          </w:tcPr>
          <w:p w14:paraId="1209530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418" w:type="dxa"/>
            <w:vMerge w:val="continue"/>
            <w:noWrap w:val="0"/>
            <w:vAlign w:val="center"/>
          </w:tcPr>
          <w:p w14:paraId="206AE10F">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r w14:paraId="5E1FE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38" w:type="dxa"/>
            <w:noWrap w:val="0"/>
            <w:vAlign w:val="center"/>
          </w:tcPr>
          <w:p w14:paraId="1B835F7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49" w:type="dxa"/>
            <w:noWrap w:val="0"/>
            <w:vAlign w:val="center"/>
          </w:tcPr>
          <w:p w14:paraId="16C1743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78E3843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73B4A05F">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top"/>
          </w:tcPr>
          <w:p w14:paraId="7DB5348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top"/>
          </w:tcPr>
          <w:p w14:paraId="2BA9249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2040" w:type="dxa"/>
            <w:noWrap w:val="0"/>
            <w:vAlign w:val="top"/>
          </w:tcPr>
          <w:p w14:paraId="6C58FB7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418" w:type="dxa"/>
            <w:vMerge w:val="continue"/>
            <w:noWrap w:val="0"/>
            <w:vAlign w:val="center"/>
          </w:tcPr>
          <w:p w14:paraId="200A00B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bl>
    <w:p w14:paraId="18CC1351">
      <w:pPr>
        <w:spacing w:line="400" w:lineRule="exact"/>
        <w:ind w:right="249"/>
        <w:jc w:val="center"/>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 xml:space="preserve">   发包人提供的工程设备表</w:t>
      </w:r>
      <w:r>
        <w:rPr>
          <w:rFonts w:hint="eastAsia" w:ascii="宋体" w:hAnsi="宋体" w:eastAsia="宋体" w:cs="Times New Roman"/>
          <w:color w:val="auto"/>
          <w:szCs w:val="21"/>
          <w:highlight w:val="none"/>
        </w:rPr>
        <w:t>（参考格式）</w:t>
      </w:r>
    </w:p>
    <w:tbl>
      <w:tblPr>
        <w:tblStyle w:val="17"/>
        <w:tblW w:w="94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79"/>
        <w:gridCol w:w="1276"/>
        <w:gridCol w:w="709"/>
        <w:gridCol w:w="1134"/>
        <w:gridCol w:w="1134"/>
        <w:gridCol w:w="1559"/>
        <w:gridCol w:w="1438"/>
      </w:tblGrid>
      <w:tr w14:paraId="77A13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12" w:space="0"/>
              <w:left w:val="single" w:color="auto" w:sz="12" w:space="0"/>
              <w:bottom w:val="single" w:color="auto" w:sz="4" w:space="0"/>
              <w:right w:val="single" w:color="auto" w:sz="4" w:space="0"/>
            </w:tcBorders>
            <w:noWrap w:val="0"/>
            <w:vAlign w:val="center"/>
          </w:tcPr>
          <w:p w14:paraId="627F574B">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479" w:type="dxa"/>
            <w:tcBorders>
              <w:top w:val="single" w:color="auto" w:sz="12" w:space="0"/>
              <w:left w:val="single" w:color="auto" w:sz="4" w:space="0"/>
              <w:bottom w:val="single" w:color="auto" w:sz="4" w:space="0"/>
              <w:right w:val="single" w:color="auto" w:sz="4" w:space="0"/>
            </w:tcBorders>
            <w:noWrap w:val="0"/>
            <w:vAlign w:val="center"/>
          </w:tcPr>
          <w:p w14:paraId="151E4FC0">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工程设备名称</w:t>
            </w:r>
          </w:p>
        </w:tc>
        <w:tc>
          <w:tcPr>
            <w:tcW w:w="1276" w:type="dxa"/>
            <w:tcBorders>
              <w:top w:val="single" w:color="auto" w:sz="12" w:space="0"/>
              <w:left w:val="single" w:color="auto" w:sz="4" w:space="0"/>
              <w:bottom w:val="single" w:color="auto" w:sz="4" w:space="0"/>
              <w:right w:val="single" w:color="auto" w:sz="4" w:space="0"/>
            </w:tcBorders>
            <w:noWrap w:val="0"/>
            <w:vAlign w:val="center"/>
          </w:tcPr>
          <w:p w14:paraId="7C02B931">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型号及规格</w:t>
            </w:r>
          </w:p>
        </w:tc>
        <w:tc>
          <w:tcPr>
            <w:tcW w:w="709" w:type="dxa"/>
            <w:tcBorders>
              <w:top w:val="single" w:color="auto" w:sz="12" w:space="0"/>
              <w:left w:val="single" w:color="auto" w:sz="4" w:space="0"/>
              <w:bottom w:val="single" w:color="auto" w:sz="4" w:space="0"/>
              <w:right w:val="single" w:color="auto" w:sz="4" w:space="0"/>
            </w:tcBorders>
            <w:noWrap w:val="0"/>
            <w:vAlign w:val="center"/>
          </w:tcPr>
          <w:p w14:paraId="64746CBB">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数量</w:t>
            </w:r>
          </w:p>
        </w:tc>
        <w:tc>
          <w:tcPr>
            <w:tcW w:w="1134" w:type="dxa"/>
            <w:tcBorders>
              <w:top w:val="single" w:color="auto" w:sz="12" w:space="0"/>
              <w:left w:val="single" w:color="auto" w:sz="4" w:space="0"/>
              <w:bottom w:val="single" w:color="auto" w:sz="4" w:space="0"/>
              <w:right w:val="single" w:color="auto" w:sz="4" w:space="0"/>
            </w:tcBorders>
            <w:noWrap w:val="0"/>
            <w:vAlign w:val="center"/>
          </w:tcPr>
          <w:p w14:paraId="50048ECC">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交货地点</w:t>
            </w:r>
          </w:p>
        </w:tc>
        <w:tc>
          <w:tcPr>
            <w:tcW w:w="1134" w:type="dxa"/>
            <w:tcBorders>
              <w:top w:val="single" w:color="auto" w:sz="12" w:space="0"/>
              <w:left w:val="single" w:color="auto" w:sz="4" w:space="0"/>
              <w:bottom w:val="single" w:color="auto" w:sz="4" w:space="0"/>
              <w:right w:val="single" w:color="auto" w:sz="4" w:space="0"/>
            </w:tcBorders>
            <w:noWrap w:val="0"/>
            <w:vAlign w:val="center"/>
          </w:tcPr>
          <w:p w14:paraId="5BB8CC7B">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交货方式</w:t>
            </w:r>
          </w:p>
        </w:tc>
        <w:tc>
          <w:tcPr>
            <w:tcW w:w="1559" w:type="dxa"/>
            <w:tcBorders>
              <w:top w:val="single" w:color="auto" w:sz="12" w:space="0"/>
              <w:left w:val="single" w:color="auto" w:sz="4" w:space="0"/>
              <w:bottom w:val="single" w:color="auto" w:sz="4" w:space="0"/>
              <w:right w:val="single" w:color="auto" w:sz="4" w:space="0"/>
            </w:tcBorders>
            <w:noWrap w:val="0"/>
            <w:vAlign w:val="center"/>
          </w:tcPr>
          <w:p w14:paraId="3BBEBEF1">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计划交货日期</w:t>
            </w:r>
          </w:p>
        </w:tc>
        <w:tc>
          <w:tcPr>
            <w:tcW w:w="1438" w:type="dxa"/>
            <w:tcBorders>
              <w:top w:val="single" w:color="auto" w:sz="12" w:space="0"/>
              <w:left w:val="single" w:color="auto" w:sz="4" w:space="0"/>
              <w:bottom w:val="single" w:color="auto" w:sz="4" w:space="0"/>
              <w:right w:val="single" w:color="auto" w:sz="12" w:space="0"/>
            </w:tcBorders>
            <w:noWrap w:val="0"/>
            <w:vAlign w:val="center"/>
          </w:tcPr>
          <w:p w14:paraId="46D1191D">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6B2C8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5D7ED0AC">
            <w:pPr>
              <w:spacing w:line="360" w:lineRule="auto"/>
              <w:ind w:right="248"/>
              <w:jc w:val="center"/>
              <w:rPr>
                <w:rFonts w:ascii="宋体" w:hAnsi="宋体" w:eastAsia="宋体" w:cs="Times New Roman"/>
                <w:color w:val="auto"/>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4D0BF3BE">
            <w:pPr>
              <w:spacing w:line="360" w:lineRule="auto"/>
              <w:ind w:right="248"/>
              <w:jc w:val="center"/>
              <w:rPr>
                <w:rFonts w:ascii="宋体" w:hAnsi="宋体"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BF772D8">
            <w:pPr>
              <w:spacing w:line="360" w:lineRule="auto"/>
              <w:ind w:right="248"/>
              <w:jc w:val="center"/>
              <w:rPr>
                <w:rFonts w:ascii="宋体" w:hAnsi="宋体" w:eastAsia="宋体" w:cs="Times New Roman"/>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A145FBD">
            <w:pPr>
              <w:spacing w:line="360" w:lineRule="auto"/>
              <w:ind w:right="248"/>
              <w:jc w:val="center"/>
              <w:rPr>
                <w:rFonts w:ascii="宋体" w:hAnsi="宋体"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78C19F6">
            <w:pPr>
              <w:spacing w:line="360" w:lineRule="auto"/>
              <w:ind w:right="248"/>
              <w:jc w:val="center"/>
              <w:rPr>
                <w:rFonts w:ascii="宋体" w:hAnsi="宋体"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6B7ABE">
            <w:pPr>
              <w:spacing w:line="360" w:lineRule="auto"/>
              <w:ind w:right="248"/>
              <w:jc w:val="center"/>
              <w:rPr>
                <w:rFonts w:ascii="宋体" w:hAnsi="宋体" w:eastAsia="宋体" w:cs="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3423E84">
            <w:pPr>
              <w:spacing w:line="360" w:lineRule="auto"/>
              <w:ind w:right="248"/>
              <w:jc w:val="center"/>
              <w:rPr>
                <w:rFonts w:ascii="宋体" w:hAnsi="宋体" w:eastAsia="宋体" w:cs="Times New Roman"/>
                <w:color w:val="auto"/>
                <w:szCs w:val="21"/>
                <w:highlight w:val="none"/>
              </w:rPr>
            </w:pPr>
          </w:p>
        </w:tc>
        <w:tc>
          <w:tcPr>
            <w:tcW w:w="1438" w:type="dxa"/>
            <w:vMerge w:val="restart"/>
            <w:tcBorders>
              <w:top w:val="single" w:color="auto" w:sz="4" w:space="0"/>
              <w:left w:val="single" w:color="auto" w:sz="4" w:space="0"/>
              <w:right w:val="single" w:color="auto" w:sz="12" w:space="0"/>
            </w:tcBorders>
            <w:noWrap w:val="0"/>
            <w:vAlign w:val="center"/>
          </w:tcPr>
          <w:p w14:paraId="5D42443F">
            <w:pPr>
              <w:spacing w:line="400" w:lineRule="exact"/>
              <w:ind w:right="-41"/>
              <w:jc w:val="center"/>
              <w:rPr>
                <w:rFonts w:ascii="宋体" w:hAnsi="宋体" w:eastAsia="宋体" w:cs="Times New Roman"/>
                <w:color w:val="auto"/>
                <w:szCs w:val="21"/>
                <w:highlight w:val="none"/>
              </w:rPr>
            </w:pPr>
            <w:r>
              <w:rPr>
                <w:rFonts w:hint="eastAsia" w:ascii="Times New Roman" w:hAnsi="Times New Roman" w:eastAsia="宋体" w:cs="Times New Roman"/>
                <w:b/>
                <w:color w:val="auto"/>
                <w:szCs w:val="22"/>
                <w:highlight w:val="none"/>
              </w:rPr>
              <w:t>所有材料、工程设备、临时设施均由施工单位承担</w:t>
            </w:r>
          </w:p>
        </w:tc>
      </w:tr>
      <w:tr w14:paraId="5A200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noWrap w:val="0"/>
            <w:vAlign w:val="center"/>
          </w:tcPr>
          <w:p w14:paraId="52C430BE">
            <w:pPr>
              <w:spacing w:line="360" w:lineRule="auto"/>
              <w:ind w:right="248"/>
              <w:jc w:val="center"/>
              <w:rPr>
                <w:rFonts w:ascii="宋体" w:hAnsi="宋体" w:eastAsia="宋体" w:cs="Times New Roman"/>
                <w:color w:val="auto"/>
                <w:szCs w:val="21"/>
                <w:highlight w:val="none"/>
              </w:rPr>
            </w:pPr>
          </w:p>
        </w:tc>
        <w:tc>
          <w:tcPr>
            <w:tcW w:w="1479" w:type="dxa"/>
            <w:tcBorders>
              <w:top w:val="single" w:color="auto" w:sz="4" w:space="0"/>
              <w:left w:val="single" w:color="auto" w:sz="4" w:space="0"/>
              <w:bottom w:val="single" w:color="auto" w:sz="4" w:space="0"/>
              <w:right w:val="single" w:color="auto" w:sz="4" w:space="0"/>
            </w:tcBorders>
            <w:noWrap w:val="0"/>
            <w:vAlign w:val="center"/>
          </w:tcPr>
          <w:p w14:paraId="01B3632E">
            <w:pPr>
              <w:spacing w:line="360" w:lineRule="auto"/>
              <w:ind w:right="248"/>
              <w:jc w:val="center"/>
              <w:rPr>
                <w:rFonts w:ascii="宋体" w:hAnsi="宋体" w:eastAsia="宋体" w:cs="Times New Roman"/>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F53E4AE">
            <w:pPr>
              <w:spacing w:line="360" w:lineRule="auto"/>
              <w:ind w:right="248"/>
              <w:jc w:val="center"/>
              <w:rPr>
                <w:rFonts w:ascii="宋体" w:hAnsi="宋体" w:eastAsia="宋体" w:cs="Times New Roman"/>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62DFD426">
            <w:pPr>
              <w:spacing w:line="360" w:lineRule="auto"/>
              <w:ind w:right="248"/>
              <w:jc w:val="center"/>
              <w:rPr>
                <w:rFonts w:ascii="宋体" w:hAnsi="宋体"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C603FD7">
            <w:pPr>
              <w:spacing w:line="360" w:lineRule="auto"/>
              <w:ind w:right="248"/>
              <w:jc w:val="center"/>
              <w:rPr>
                <w:rFonts w:ascii="宋体" w:hAnsi="宋体" w:eastAsia="宋体" w:cs="Times New Roman"/>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9740149">
            <w:pPr>
              <w:spacing w:line="360" w:lineRule="auto"/>
              <w:ind w:right="248"/>
              <w:jc w:val="center"/>
              <w:rPr>
                <w:rFonts w:ascii="宋体" w:hAnsi="宋体" w:eastAsia="宋体" w:cs="Times New Roman"/>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1C634F18">
            <w:pPr>
              <w:spacing w:line="360" w:lineRule="auto"/>
              <w:ind w:right="248"/>
              <w:jc w:val="center"/>
              <w:rPr>
                <w:rFonts w:ascii="宋体" w:hAnsi="宋体" w:eastAsia="宋体" w:cs="Times New Roman"/>
                <w:color w:val="auto"/>
                <w:szCs w:val="21"/>
                <w:highlight w:val="none"/>
              </w:rPr>
            </w:pPr>
          </w:p>
        </w:tc>
        <w:tc>
          <w:tcPr>
            <w:tcW w:w="1438" w:type="dxa"/>
            <w:vMerge w:val="continue"/>
            <w:tcBorders>
              <w:left w:val="single" w:color="auto" w:sz="4" w:space="0"/>
              <w:right w:val="single" w:color="auto" w:sz="12" w:space="0"/>
            </w:tcBorders>
            <w:noWrap w:val="0"/>
            <w:vAlign w:val="center"/>
          </w:tcPr>
          <w:p w14:paraId="5AFC1817">
            <w:pPr>
              <w:spacing w:line="360" w:lineRule="auto"/>
              <w:ind w:right="248"/>
              <w:jc w:val="center"/>
              <w:rPr>
                <w:rFonts w:ascii="宋体" w:hAnsi="宋体" w:eastAsia="宋体" w:cs="Times New Roman"/>
                <w:color w:val="auto"/>
                <w:szCs w:val="21"/>
                <w:highlight w:val="none"/>
              </w:rPr>
            </w:pPr>
          </w:p>
        </w:tc>
      </w:tr>
      <w:tr w14:paraId="46D00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12" w:space="0"/>
              <w:right w:val="single" w:color="auto" w:sz="4" w:space="0"/>
            </w:tcBorders>
            <w:noWrap w:val="0"/>
            <w:vAlign w:val="center"/>
          </w:tcPr>
          <w:p w14:paraId="56D0C10A">
            <w:pPr>
              <w:spacing w:line="360" w:lineRule="auto"/>
              <w:ind w:right="248"/>
              <w:jc w:val="center"/>
              <w:rPr>
                <w:rFonts w:ascii="宋体" w:hAnsi="宋体" w:eastAsia="宋体" w:cs="Times New Roman"/>
                <w:color w:val="auto"/>
                <w:szCs w:val="21"/>
                <w:highlight w:val="none"/>
              </w:rPr>
            </w:pPr>
          </w:p>
        </w:tc>
        <w:tc>
          <w:tcPr>
            <w:tcW w:w="1479" w:type="dxa"/>
            <w:tcBorders>
              <w:top w:val="single" w:color="auto" w:sz="4" w:space="0"/>
              <w:left w:val="single" w:color="auto" w:sz="4" w:space="0"/>
              <w:bottom w:val="single" w:color="auto" w:sz="12" w:space="0"/>
              <w:right w:val="single" w:color="auto" w:sz="4" w:space="0"/>
            </w:tcBorders>
            <w:noWrap w:val="0"/>
            <w:vAlign w:val="center"/>
          </w:tcPr>
          <w:p w14:paraId="15F729D9">
            <w:pPr>
              <w:spacing w:line="360" w:lineRule="auto"/>
              <w:ind w:right="248"/>
              <w:jc w:val="center"/>
              <w:rPr>
                <w:rFonts w:ascii="宋体" w:hAnsi="宋体" w:eastAsia="宋体" w:cs="Times New Roman"/>
                <w:color w:val="auto"/>
                <w:szCs w:val="21"/>
                <w:highlight w:val="none"/>
              </w:rPr>
            </w:pPr>
          </w:p>
        </w:tc>
        <w:tc>
          <w:tcPr>
            <w:tcW w:w="1276" w:type="dxa"/>
            <w:tcBorders>
              <w:top w:val="single" w:color="auto" w:sz="4" w:space="0"/>
              <w:left w:val="single" w:color="auto" w:sz="4" w:space="0"/>
              <w:bottom w:val="single" w:color="auto" w:sz="12" w:space="0"/>
              <w:right w:val="single" w:color="auto" w:sz="4" w:space="0"/>
            </w:tcBorders>
            <w:noWrap w:val="0"/>
            <w:vAlign w:val="center"/>
          </w:tcPr>
          <w:p w14:paraId="24DEEC4D">
            <w:pPr>
              <w:spacing w:line="360" w:lineRule="auto"/>
              <w:ind w:right="248"/>
              <w:jc w:val="center"/>
              <w:rPr>
                <w:rFonts w:ascii="宋体" w:hAnsi="宋体" w:eastAsia="宋体" w:cs="Times New Roman"/>
                <w:color w:val="auto"/>
                <w:szCs w:val="21"/>
                <w:highlight w:val="none"/>
              </w:rPr>
            </w:pPr>
          </w:p>
        </w:tc>
        <w:tc>
          <w:tcPr>
            <w:tcW w:w="709" w:type="dxa"/>
            <w:tcBorders>
              <w:top w:val="single" w:color="auto" w:sz="4" w:space="0"/>
              <w:left w:val="single" w:color="auto" w:sz="4" w:space="0"/>
              <w:bottom w:val="single" w:color="auto" w:sz="12" w:space="0"/>
              <w:right w:val="single" w:color="auto" w:sz="4" w:space="0"/>
            </w:tcBorders>
            <w:noWrap w:val="0"/>
            <w:vAlign w:val="center"/>
          </w:tcPr>
          <w:p w14:paraId="0F3043D1">
            <w:pPr>
              <w:spacing w:line="360" w:lineRule="auto"/>
              <w:ind w:right="248"/>
              <w:jc w:val="center"/>
              <w:rPr>
                <w:rFonts w:ascii="宋体" w:hAnsi="宋体" w:eastAsia="宋体" w:cs="Times New Roman"/>
                <w:color w:val="auto"/>
                <w:szCs w:val="21"/>
                <w:highlight w:val="none"/>
              </w:rPr>
            </w:pPr>
          </w:p>
        </w:tc>
        <w:tc>
          <w:tcPr>
            <w:tcW w:w="1134" w:type="dxa"/>
            <w:tcBorders>
              <w:top w:val="single" w:color="auto" w:sz="4" w:space="0"/>
              <w:left w:val="single" w:color="auto" w:sz="4" w:space="0"/>
              <w:bottom w:val="single" w:color="auto" w:sz="12" w:space="0"/>
              <w:right w:val="single" w:color="auto" w:sz="4" w:space="0"/>
            </w:tcBorders>
            <w:noWrap w:val="0"/>
            <w:vAlign w:val="top"/>
          </w:tcPr>
          <w:p w14:paraId="3DBD4FE6">
            <w:pPr>
              <w:spacing w:line="360" w:lineRule="auto"/>
              <w:ind w:right="248"/>
              <w:jc w:val="center"/>
              <w:rPr>
                <w:rFonts w:ascii="宋体" w:hAnsi="宋体" w:eastAsia="宋体" w:cs="Times New Roman"/>
                <w:color w:val="auto"/>
                <w:szCs w:val="21"/>
                <w:highlight w:val="none"/>
              </w:rPr>
            </w:pPr>
          </w:p>
        </w:tc>
        <w:tc>
          <w:tcPr>
            <w:tcW w:w="1134" w:type="dxa"/>
            <w:tcBorders>
              <w:top w:val="single" w:color="auto" w:sz="4" w:space="0"/>
              <w:left w:val="single" w:color="auto" w:sz="4" w:space="0"/>
              <w:bottom w:val="single" w:color="auto" w:sz="12" w:space="0"/>
              <w:right w:val="single" w:color="auto" w:sz="4" w:space="0"/>
            </w:tcBorders>
            <w:noWrap w:val="0"/>
            <w:vAlign w:val="top"/>
          </w:tcPr>
          <w:p w14:paraId="3F39E620">
            <w:pPr>
              <w:spacing w:line="360" w:lineRule="auto"/>
              <w:ind w:right="248"/>
              <w:jc w:val="center"/>
              <w:rPr>
                <w:rFonts w:ascii="宋体" w:hAnsi="宋体" w:eastAsia="宋体" w:cs="Times New Roman"/>
                <w:color w:val="auto"/>
                <w:szCs w:val="21"/>
                <w:highlight w:val="none"/>
              </w:rPr>
            </w:pPr>
          </w:p>
        </w:tc>
        <w:tc>
          <w:tcPr>
            <w:tcW w:w="1559" w:type="dxa"/>
            <w:tcBorders>
              <w:top w:val="single" w:color="auto" w:sz="4" w:space="0"/>
              <w:left w:val="single" w:color="auto" w:sz="4" w:space="0"/>
              <w:bottom w:val="single" w:color="auto" w:sz="12" w:space="0"/>
              <w:right w:val="single" w:color="auto" w:sz="4" w:space="0"/>
            </w:tcBorders>
            <w:noWrap w:val="0"/>
            <w:vAlign w:val="top"/>
          </w:tcPr>
          <w:p w14:paraId="2E396A3B">
            <w:pPr>
              <w:spacing w:line="360" w:lineRule="auto"/>
              <w:ind w:right="248"/>
              <w:jc w:val="center"/>
              <w:rPr>
                <w:rFonts w:ascii="宋体" w:hAnsi="宋体" w:eastAsia="宋体" w:cs="Times New Roman"/>
                <w:color w:val="auto"/>
                <w:szCs w:val="21"/>
                <w:highlight w:val="none"/>
              </w:rPr>
            </w:pPr>
          </w:p>
        </w:tc>
        <w:tc>
          <w:tcPr>
            <w:tcW w:w="1438" w:type="dxa"/>
            <w:vMerge w:val="continue"/>
            <w:tcBorders>
              <w:left w:val="single" w:color="auto" w:sz="4" w:space="0"/>
              <w:bottom w:val="single" w:color="auto" w:sz="12" w:space="0"/>
              <w:right w:val="single" w:color="auto" w:sz="12" w:space="0"/>
            </w:tcBorders>
            <w:noWrap w:val="0"/>
            <w:vAlign w:val="center"/>
          </w:tcPr>
          <w:p w14:paraId="49C9ED72">
            <w:pPr>
              <w:spacing w:line="360" w:lineRule="auto"/>
              <w:ind w:right="248"/>
              <w:jc w:val="center"/>
              <w:rPr>
                <w:rFonts w:ascii="宋体" w:hAnsi="宋体" w:eastAsia="宋体" w:cs="Times New Roman"/>
                <w:color w:val="auto"/>
                <w:szCs w:val="21"/>
                <w:highlight w:val="none"/>
              </w:rPr>
            </w:pPr>
          </w:p>
        </w:tc>
      </w:tr>
    </w:tbl>
    <w:p w14:paraId="2B41689D">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186" w:name="_Toc515441166"/>
      <w:bookmarkStart w:id="187" w:name="_Toc256000161"/>
      <w:bookmarkStart w:id="188" w:name="_Toc7185611"/>
      <w:bookmarkStart w:id="189" w:name="_Toc511635994"/>
      <w:bookmarkStart w:id="190" w:name="_Toc222033883"/>
      <w:bookmarkStart w:id="191" w:name="_Toc14252"/>
      <w:bookmarkStart w:id="192" w:name="_Toc222029532"/>
      <w:bookmarkStart w:id="193" w:name="_Toc256000232"/>
      <w:bookmarkStart w:id="194" w:name="_Toc256000134"/>
      <w:bookmarkStart w:id="195" w:name="_Toc222031034"/>
      <w:bookmarkStart w:id="196" w:name="_Toc487489980"/>
      <w:bookmarkStart w:id="197" w:name="_Toc30196"/>
      <w:bookmarkStart w:id="198" w:name="_Toc35605770"/>
      <w:bookmarkStart w:id="199" w:name="_Toc15472"/>
      <w:bookmarkStart w:id="200" w:name="_Toc256000112"/>
      <w:bookmarkStart w:id="201" w:name="_Toc229305392"/>
      <w:bookmarkStart w:id="202" w:name="_Toc222032701"/>
      <w:bookmarkStart w:id="203" w:name="_Toc516816169"/>
      <w:bookmarkStart w:id="204" w:name="_Toc221951166"/>
      <w:r>
        <w:rPr>
          <w:rFonts w:hint="eastAsia" w:ascii="宋体" w:hAnsi="宋体" w:eastAsia="宋体" w:cs="Times New Roman"/>
          <w:b/>
          <w:bCs/>
          <w:color w:val="auto"/>
          <w:sz w:val="28"/>
          <w:szCs w:val="28"/>
          <w:highlight w:val="none"/>
        </w:rPr>
        <w:t>6 施工设备和临时设施</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404C1F7E">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205" w:name="_Toc511635995"/>
      <w:bookmarkStart w:id="206" w:name="_Toc221951167"/>
      <w:bookmarkStart w:id="207" w:name="_Toc262637997"/>
      <w:r>
        <w:rPr>
          <w:rFonts w:hint="eastAsia" w:ascii="宋体" w:hAnsi="宋体" w:eastAsia="宋体" w:cs="Times New Roman"/>
          <w:b/>
          <w:bCs/>
          <w:color w:val="auto"/>
          <w:sz w:val="28"/>
          <w:szCs w:val="28"/>
          <w:highlight w:val="none"/>
        </w:rPr>
        <w:t>6.2 发包人提供的施工设备和临时设施</w:t>
      </w:r>
      <w:bookmarkEnd w:id="205"/>
      <w:bookmarkEnd w:id="206"/>
      <w:bookmarkEnd w:id="207"/>
    </w:p>
    <w:p w14:paraId="79B95EF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08" w:name="_Toc221951169"/>
      <w:r>
        <w:rPr>
          <w:rFonts w:hint="eastAsia" w:ascii="宋体" w:hAnsi="宋体" w:eastAsia="宋体" w:cs="Times New Roman"/>
          <w:color w:val="auto"/>
          <w:szCs w:val="21"/>
          <w:highlight w:val="none"/>
        </w:rPr>
        <w:t>（1）发包人提供的的施工设备见下表</w:t>
      </w:r>
      <w:bookmarkEnd w:id="208"/>
      <w:r>
        <w:rPr>
          <w:rFonts w:hint="eastAsia" w:ascii="宋体" w:hAnsi="宋体" w:eastAsia="宋体" w:cs="Times New Roman"/>
          <w:color w:val="auto"/>
          <w:szCs w:val="21"/>
          <w:highlight w:val="none"/>
        </w:rPr>
        <w:t>：</w:t>
      </w:r>
      <w:bookmarkStart w:id="209" w:name="_Toc221951170"/>
    </w:p>
    <w:p w14:paraId="60A6DD32">
      <w:pPr>
        <w:widowControl/>
        <w:shd w:val="clear" w:color="auto" w:fill="FFFFFF"/>
        <w:snapToGrid w:val="0"/>
        <w:spacing w:line="520" w:lineRule="exact"/>
        <w:ind w:firstLine="422" w:firstLineChars="200"/>
        <w:jc w:val="center"/>
        <w:rPr>
          <w:rFonts w:ascii="宋体" w:hAnsi="宋体" w:eastAsia="宋体" w:cs="Times New Roman"/>
          <w:color w:val="auto"/>
          <w:szCs w:val="21"/>
          <w:highlight w:val="none"/>
        </w:rPr>
      </w:pPr>
      <w:r>
        <w:rPr>
          <w:rFonts w:hint="eastAsia" w:ascii="宋体" w:hAnsi="宋体" w:eastAsia="宋体" w:cs="Times New Roman"/>
          <w:b/>
          <w:color w:val="auto"/>
          <w:szCs w:val="21"/>
          <w:highlight w:val="none"/>
        </w:rPr>
        <w:t>发包人提供的施工设备表</w:t>
      </w:r>
      <w:r>
        <w:rPr>
          <w:rFonts w:hint="eastAsia" w:ascii="宋体" w:hAnsi="宋体" w:eastAsia="宋体" w:cs="Times New Roman"/>
          <w:color w:val="auto"/>
          <w:szCs w:val="21"/>
          <w:highlight w:val="none"/>
        </w:rPr>
        <w:t>（参考格式</w:t>
      </w:r>
      <w:bookmarkEnd w:id="209"/>
      <w:r>
        <w:rPr>
          <w:rFonts w:hint="eastAsia" w:ascii="宋体" w:hAnsi="宋体" w:eastAsia="宋体" w:cs="Times New Roman"/>
          <w:color w:val="auto"/>
          <w:szCs w:val="21"/>
          <w:highlight w:val="none"/>
        </w:rPr>
        <w:t>）</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276"/>
        <w:gridCol w:w="1134"/>
        <w:gridCol w:w="709"/>
        <w:gridCol w:w="1134"/>
        <w:gridCol w:w="1559"/>
        <w:gridCol w:w="709"/>
      </w:tblGrid>
      <w:tr w14:paraId="4DD10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7" w:type="dxa"/>
            <w:noWrap w:val="0"/>
            <w:vAlign w:val="center"/>
          </w:tcPr>
          <w:p w14:paraId="78DFF0B3">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559" w:type="dxa"/>
            <w:noWrap w:val="0"/>
            <w:vAlign w:val="center"/>
          </w:tcPr>
          <w:p w14:paraId="173BF981">
            <w:pPr>
              <w:widowControl/>
              <w:shd w:val="clear" w:color="auto" w:fill="FFFFFF"/>
              <w:snapToGrid w:val="0"/>
              <w:spacing w:line="520" w:lineRule="exact"/>
              <w:jc w:val="center"/>
              <w:rPr>
                <w:rFonts w:ascii="宋体" w:hAnsi="宋体" w:eastAsia="宋体" w:cs="Times New Roman"/>
                <w:color w:val="auto"/>
                <w:szCs w:val="21"/>
                <w:highlight w:val="none"/>
              </w:rPr>
            </w:pPr>
            <w:bookmarkStart w:id="210" w:name="_Toc221951171"/>
            <w:r>
              <w:rPr>
                <w:rFonts w:hint="eastAsia" w:ascii="宋体" w:hAnsi="宋体" w:eastAsia="宋体" w:cs="Times New Roman"/>
                <w:color w:val="auto"/>
                <w:szCs w:val="21"/>
                <w:highlight w:val="none"/>
              </w:rPr>
              <w:t>设备名称</w:t>
            </w:r>
            <w:bookmarkEnd w:id="210"/>
          </w:p>
        </w:tc>
        <w:tc>
          <w:tcPr>
            <w:tcW w:w="1276" w:type="dxa"/>
            <w:noWrap w:val="0"/>
            <w:vAlign w:val="center"/>
          </w:tcPr>
          <w:p w14:paraId="3F2741BE">
            <w:pPr>
              <w:widowControl/>
              <w:shd w:val="clear" w:color="auto" w:fill="FFFFFF"/>
              <w:snapToGrid w:val="0"/>
              <w:spacing w:line="520" w:lineRule="exact"/>
              <w:jc w:val="center"/>
              <w:rPr>
                <w:rFonts w:ascii="宋体" w:hAnsi="宋体" w:eastAsia="宋体" w:cs="Times New Roman"/>
                <w:color w:val="auto"/>
                <w:szCs w:val="21"/>
                <w:highlight w:val="none"/>
              </w:rPr>
            </w:pPr>
            <w:bookmarkStart w:id="211" w:name="_Toc221951172"/>
            <w:r>
              <w:rPr>
                <w:rFonts w:hint="eastAsia" w:ascii="宋体" w:hAnsi="宋体" w:eastAsia="宋体" w:cs="Times New Roman"/>
                <w:color w:val="auto"/>
                <w:szCs w:val="21"/>
                <w:highlight w:val="none"/>
              </w:rPr>
              <w:t>型号及规格</w:t>
            </w:r>
            <w:bookmarkEnd w:id="211"/>
          </w:p>
        </w:tc>
        <w:tc>
          <w:tcPr>
            <w:tcW w:w="1134" w:type="dxa"/>
            <w:noWrap w:val="0"/>
            <w:vAlign w:val="center"/>
          </w:tcPr>
          <w:p w14:paraId="7A533D3B">
            <w:pPr>
              <w:widowControl/>
              <w:shd w:val="clear" w:color="auto" w:fill="FFFFFF"/>
              <w:snapToGrid w:val="0"/>
              <w:spacing w:line="520" w:lineRule="exact"/>
              <w:jc w:val="center"/>
              <w:rPr>
                <w:rFonts w:ascii="宋体" w:hAnsi="宋体" w:eastAsia="宋体" w:cs="Times New Roman"/>
                <w:color w:val="auto"/>
                <w:szCs w:val="21"/>
                <w:highlight w:val="none"/>
              </w:rPr>
            </w:pPr>
            <w:bookmarkStart w:id="212" w:name="_Toc221951173"/>
            <w:r>
              <w:rPr>
                <w:rFonts w:hint="eastAsia" w:ascii="宋体" w:hAnsi="宋体" w:eastAsia="宋体" w:cs="Times New Roman"/>
                <w:color w:val="auto"/>
                <w:szCs w:val="21"/>
                <w:highlight w:val="none"/>
              </w:rPr>
              <w:t>设备状况</w:t>
            </w:r>
            <w:bookmarkEnd w:id="212"/>
          </w:p>
        </w:tc>
        <w:tc>
          <w:tcPr>
            <w:tcW w:w="709" w:type="dxa"/>
            <w:noWrap w:val="0"/>
            <w:vAlign w:val="center"/>
          </w:tcPr>
          <w:p w14:paraId="52195BAC">
            <w:pPr>
              <w:widowControl/>
              <w:shd w:val="clear" w:color="auto" w:fill="FFFFFF"/>
              <w:snapToGrid w:val="0"/>
              <w:spacing w:line="520" w:lineRule="exact"/>
              <w:jc w:val="center"/>
              <w:rPr>
                <w:rFonts w:ascii="宋体" w:hAnsi="宋体" w:eastAsia="宋体" w:cs="Times New Roman"/>
                <w:color w:val="auto"/>
                <w:szCs w:val="21"/>
                <w:highlight w:val="none"/>
              </w:rPr>
            </w:pPr>
            <w:bookmarkStart w:id="213" w:name="_Toc221951174"/>
            <w:r>
              <w:rPr>
                <w:rFonts w:hint="eastAsia" w:ascii="宋体" w:hAnsi="宋体" w:eastAsia="宋体" w:cs="Times New Roman"/>
                <w:color w:val="auto"/>
                <w:szCs w:val="21"/>
                <w:highlight w:val="none"/>
              </w:rPr>
              <w:t>数量</w:t>
            </w:r>
            <w:bookmarkEnd w:id="213"/>
          </w:p>
        </w:tc>
        <w:tc>
          <w:tcPr>
            <w:tcW w:w="1134" w:type="dxa"/>
            <w:noWrap w:val="0"/>
            <w:vAlign w:val="center"/>
          </w:tcPr>
          <w:p w14:paraId="672B0AAE">
            <w:pPr>
              <w:widowControl/>
              <w:shd w:val="clear" w:color="auto" w:fill="FFFFFF"/>
              <w:snapToGrid w:val="0"/>
              <w:spacing w:line="520" w:lineRule="exact"/>
              <w:jc w:val="center"/>
              <w:rPr>
                <w:rFonts w:ascii="宋体" w:hAnsi="宋体" w:eastAsia="宋体" w:cs="Times New Roman"/>
                <w:color w:val="auto"/>
                <w:szCs w:val="21"/>
                <w:highlight w:val="none"/>
              </w:rPr>
            </w:pPr>
            <w:bookmarkStart w:id="214" w:name="_Toc221951175"/>
            <w:r>
              <w:rPr>
                <w:rFonts w:hint="eastAsia" w:ascii="宋体" w:hAnsi="宋体" w:eastAsia="宋体" w:cs="Times New Roman"/>
                <w:color w:val="auto"/>
                <w:szCs w:val="21"/>
                <w:highlight w:val="none"/>
              </w:rPr>
              <w:t>移交地点</w:t>
            </w:r>
            <w:bookmarkEnd w:id="214"/>
          </w:p>
        </w:tc>
        <w:tc>
          <w:tcPr>
            <w:tcW w:w="1559" w:type="dxa"/>
            <w:noWrap w:val="0"/>
            <w:vAlign w:val="center"/>
          </w:tcPr>
          <w:p w14:paraId="6070ADA0">
            <w:pPr>
              <w:widowControl/>
              <w:shd w:val="clear" w:color="auto" w:fill="FFFFFF"/>
              <w:snapToGrid w:val="0"/>
              <w:spacing w:line="5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计划移交日期</w:t>
            </w:r>
          </w:p>
        </w:tc>
        <w:tc>
          <w:tcPr>
            <w:tcW w:w="709" w:type="dxa"/>
            <w:noWrap w:val="0"/>
            <w:vAlign w:val="center"/>
          </w:tcPr>
          <w:p w14:paraId="06C1E501">
            <w:pPr>
              <w:widowControl/>
              <w:shd w:val="clear" w:color="auto" w:fill="FFFFFF"/>
              <w:snapToGrid w:val="0"/>
              <w:spacing w:line="520" w:lineRule="exact"/>
              <w:jc w:val="center"/>
              <w:rPr>
                <w:rFonts w:ascii="宋体" w:hAnsi="宋体" w:eastAsia="宋体" w:cs="Times New Roman"/>
                <w:color w:val="auto"/>
                <w:szCs w:val="21"/>
                <w:highlight w:val="none"/>
              </w:rPr>
            </w:pPr>
            <w:bookmarkStart w:id="215" w:name="_Toc221951176"/>
            <w:r>
              <w:rPr>
                <w:rFonts w:hint="eastAsia" w:ascii="宋体" w:hAnsi="宋体" w:eastAsia="宋体" w:cs="Times New Roman"/>
                <w:color w:val="auto"/>
                <w:szCs w:val="21"/>
                <w:highlight w:val="none"/>
              </w:rPr>
              <w:t>备注</w:t>
            </w:r>
            <w:bookmarkEnd w:id="215"/>
          </w:p>
        </w:tc>
      </w:tr>
      <w:tr w14:paraId="730B7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noWrap w:val="0"/>
            <w:vAlign w:val="top"/>
          </w:tcPr>
          <w:p w14:paraId="5AAF395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559" w:type="dxa"/>
            <w:noWrap w:val="0"/>
            <w:vAlign w:val="center"/>
          </w:tcPr>
          <w:p w14:paraId="0541DAC6">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276" w:type="dxa"/>
            <w:noWrap w:val="0"/>
            <w:vAlign w:val="center"/>
          </w:tcPr>
          <w:p w14:paraId="42906F7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1DB2815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51DF34A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3CFBD891">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559" w:type="dxa"/>
            <w:noWrap w:val="0"/>
            <w:vAlign w:val="top"/>
          </w:tcPr>
          <w:p w14:paraId="3D80E90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12592EA9">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r w14:paraId="4BF0B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noWrap w:val="0"/>
            <w:vAlign w:val="top"/>
          </w:tcPr>
          <w:p w14:paraId="2A0B81A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559" w:type="dxa"/>
            <w:noWrap w:val="0"/>
            <w:vAlign w:val="center"/>
          </w:tcPr>
          <w:p w14:paraId="30CF373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276" w:type="dxa"/>
            <w:noWrap w:val="0"/>
            <w:vAlign w:val="center"/>
          </w:tcPr>
          <w:p w14:paraId="2364630C">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4C287F29">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36DE4FA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152DFCB9">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559" w:type="dxa"/>
            <w:noWrap w:val="0"/>
            <w:vAlign w:val="top"/>
          </w:tcPr>
          <w:p w14:paraId="461B607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4D96A23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r w14:paraId="170DD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noWrap w:val="0"/>
            <w:vAlign w:val="top"/>
          </w:tcPr>
          <w:p w14:paraId="059FB5DC">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559" w:type="dxa"/>
            <w:noWrap w:val="0"/>
            <w:vAlign w:val="center"/>
          </w:tcPr>
          <w:p w14:paraId="5FAAC17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276" w:type="dxa"/>
            <w:noWrap w:val="0"/>
            <w:vAlign w:val="center"/>
          </w:tcPr>
          <w:p w14:paraId="2AC7874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77D256C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2B83B94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134" w:type="dxa"/>
            <w:noWrap w:val="0"/>
            <w:vAlign w:val="center"/>
          </w:tcPr>
          <w:p w14:paraId="6FAF2B6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559" w:type="dxa"/>
            <w:noWrap w:val="0"/>
            <w:vAlign w:val="top"/>
          </w:tcPr>
          <w:p w14:paraId="7C29995C">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709" w:type="dxa"/>
            <w:noWrap w:val="0"/>
            <w:vAlign w:val="center"/>
          </w:tcPr>
          <w:p w14:paraId="2552747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bl>
    <w:p w14:paraId="4066E7E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16" w:name="_Toc221951177"/>
      <w:r>
        <w:rPr>
          <w:rFonts w:hint="eastAsia" w:ascii="宋体" w:hAnsi="宋体" w:eastAsia="宋体" w:cs="Times New Roman"/>
          <w:color w:val="auto"/>
          <w:szCs w:val="21"/>
          <w:highlight w:val="none"/>
        </w:rPr>
        <w:t>注：设备状况栏内填写该设备的新旧程度、购进时间、已使用小时数和最近一次的大修时间。</w:t>
      </w:r>
      <w:bookmarkEnd w:id="216"/>
    </w:p>
    <w:p w14:paraId="6391829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（2）发包人提供的临时设施：</w:t>
      </w:r>
      <w:r>
        <w:rPr>
          <w:rFonts w:hint="eastAsia" w:ascii="Times New Roman" w:hAnsi="Times New Roman" w:eastAsia="宋体" w:cs="Times New Roman"/>
          <w:color w:val="auto"/>
          <w:szCs w:val="22"/>
          <w:highlight w:val="none"/>
          <w:u w:val="single"/>
        </w:rPr>
        <w:t>本招标项目发包人不提供施工设备和临时设施</w:t>
      </w:r>
      <w:r>
        <w:rPr>
          <w:rFonts w:hint="eastAsia" w:ascii="宋体" w:hAnsi="宋体" w:eastAsia="宋体" w:cs="Times New Roman"/>
          <w:color w:val="auto"/>
          <w:szCs w:val="21"/>
          <w:highlight w:val="none"/>
        </w:rPr>
        <w:t>。</w:t>
      </w:r>
    </w:p>
    <w:p w14:paraId="3F7E7BCA">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217" w:name="_Toc16342"/>
      <w:bookmarkStart w:id="218" w:name="_Toc222033884"/>
      <w:bookmarkStart w:id="219" w:name="_Toc35605771"/>
      <w:bookmarkStart w:id="220" w:name="_Toc256000233"/>
      <w:bookmarkStart w:id="221" w:name="_Toc256000135"/>
      <w:bookmarkStart w:id="222" w:name="_Toc516816170"/>
      <w:bookmarkStart w:id="223" w:name="_Toc222032702"/>
      <w:bookmarkStart w:id="224" w:name="_Toc221951178"/>
      <w:bookmarkStart w:id="225" w:name="_Toc6423"/>
      <w:bookmarkStart w:id="226" w:name="_Toc487489981"/>
      <w:bookmarkStart w:id="227" w:name="_Toc511635996"/>
      <w:bookmarkStart w:id="228" w:name="_Toc222029533"/>
      <w:bookmarkStart w:id="229" w:name="_Toc256000162"/>
      <w:bookmarkStart w:id="230" w:name="_Toc222031035"/>
      <w:bookmarkStart w:id="231" w:name="_Toc7120"/>
      <w:bookmarkStart w:id="232" w:name="_Toc515441167"/>
      <w:bookmarkStart w:id="233" w:name="_Toc7185612"/>
      <w:bookmarkStart w:id="234" w:name="_Toc256000113"/>
      <w:r>
        <w:rPr>
          <w:rFonts w:hint="eastAsia" w:ascii="宋体" w:hAnsi="宋体" w:eastAsia="宋体" w:cs="Times New Roman"/>
          <w:b/>
          <w:bCs/>
          <w:color w:val="auto"/>
          <w:sz w:val="28"/>
          <w:szCs w:val="28"/>
          <w:highlight w:val="none"/>
        </w:rPr>
        <w:t>7 交通运输</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7B8DD983">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235" w:name="_Toc262637999"/>
      <w:bookmarkStart w:id="236" w:name="_Toc221951179"/>
      <w:bookmarkStart w:id="237" w:name="_Toc511635997"/>
      <w:r>
        <w:rPr>
          <w:rFonts w:hint="eastAsia" w:ascii="宋体" w:hAnsi="宋体" w:eastAsia="宋体" w:cs="Times New Roman"/>
          <w:b/>
          <w:bCs/>
          <w:color w:val="auto"/>
          <w:sz w:val="28"/>
          <w:szCs w:val="28"/>
          <w:highlight w:val="none"/>
        </w:rPr>
        <w:t>7.</w:t>
      </w:r>
      <w:r>
        <w:rPr>
          <w:rFonts w:ascii="宋体" w:hAnsi="宋体" w:eastAsia="宋体" w:cs="Times New Roman"/>
          <w:b/>
          <w:bCs/>
          <w:color w:val="auto"/>
          <w:sz w:val="28"/>
          <w:szCs w:val="28"/>
          <w:highlight w:val="none"/>
        </w:rPr>
        <w:t>1</w:t>
      </w:r>
      <w:r>
        <w:rPr>
          <w:rFonts w:hint="eastAsia" w:ascii="宋体" w:hAnsi="宋体" w:eastAsia="宋体" w:cs="Times New Roman"/>
          <w:b/>
          <w:bCs/>
          <w:color w:val="auto"/>
          <w:sz w:val="28"/>
          <w:szCs w:val="28"/>
          <w:highlight w:val="none"/>
        </w:rPr>
        <w:t xml:space="preserve"> 道路通行权和场外设施</w:t>
      </w:r>
      <w:bookmarkEnd w:id="235"/>
      <w:bookmarkEnd w:id="236"/>
      <w:bookmarkEnd w:id="237"/>
    </w:p>
    <w:p w14:paraId="3C017B3C">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道路通行权和场外设施的约定：</w:t>
      </w:r>
      <w:r>
        <w:rPr>
          <w:rFonts w:ascii="Times New Roman" w:hAnsi="Times New Roman" w:eastAsia="宋体" w:cs="Times New Roman"/>
          <w:b/>
          <w:color w:val="auto"/>
          <w:spacing w:val="-3"/>
          <w:szCs w:val="22"/>
          <w:highlight w:val="none"/>
          <w:u w:val="single"/>
        </w:rPr>
        <w:t xml:space="preserve">(1) </w:t>
      </w:r>
      <w:r>
        <w:rPr>
          <w:rFonts w:hint="eastAsia" w:ascii="Times New Roman" w:hAnsi="Times New Roman" w:eastAsia="宋体" w:cs="Times New Roman"/>
          <w:b/>
          <w:color w:val="auto"/>
          <w:spacing w:val="-3"/>
          <w:szCs w:val="22"/>
          <w:highlight w:val="none"/>
          <w:u w:val="single"/>
        </w:rPr>
        <w:t>施工单位在施工过程中运输淤泥及土方过程中渣土点，散、落，导致影响周边环境卫生，由施工单位自行负责清理，不再追加任何费用。（</w:t>
      </w:r>
      <w:r>
        <w:rPr>
          <w:rFonts w:ascii="Times New Roman" w:hAnsi="Times New Roman" w:eastAsia="宋体" w:cs="Times New Roman"/>
          <w:b/>
          <w:color w:val="auto"/>
          <w:spacing w:val="-3"/>
          <w:szCs w:val="22"/>
          <w:highlight w:val="none"/>
          <w:u w:val="single"/>
        </w:rPr>
        <w:t>2</w:t>
      </w:r>
      <w:r>
        <w:rPr>
          <w:rFonts w:hint="eastAsia" w:ascii="Times New Roman" w:hAnsi="Times New Roman" w:eastAsia="宋体" w:cs="Times New Roman"/>
          <w:b/>
          <w:color w:val="auto"/>
          <w:spacing w:val="-3"/>
          <w:szCs w:val="22"/>
          <w:highlight w:val="none"/>
          <w:u w:val="single"/>
        </w:rPr>
        <w:t>）施工单位在施工过程中运输道路无法承受运输车辆的承载力，由施工单位自行负责解决，不再追加任何费用。（</w:t>
      </w:r>
      <w:r>
        <w:rPr>
          <w:rFonts w:ascii="Times New Roman" w:hAnsi="Times New Roman" w:eastAsia="宋体" w:cs="Times New Roman"/>
          <w:b/>
          <w:color w:val="auto"/>
          <w:spacing w:val="-3"/>
          <w:szCs w:val="22"/>
          <w:highlight w:val="none"/>
          <w:u w:val="single"/>
        </w:rPr>
        <w:t>3</w:t>
      </w:r>
      <w:r>
        <w:rPr>
          <w:rFonts w:hint="eastAsia" w:ascii="Times New Roman" w:hAnsi="Times New Roman" w:eastAsia="宋体" w:cs="Times New Roman"/>
          <w:b/>
          <w:color w:val="auto"/>
          <w:spacing w:val="-3"/>
          <w:szCs w:val="22"/>
          <w:highlight w:val="none"/>
          <w:u w:val="single"/>
        </w:rPr>
        <w:t>）承包人应根据合同工程的需要，负责办理并取得进入施工场地包括但不限于国道、省道、县道、乡道、村道（含村村通工程）、田间作业道等各级道路的通行权，同时负责办理各级路口使用手续和除发包人负责办理的有关项目以外的道路施工许可，以及取得为工程建设所需修建场外设施的权利，并承担相关费用。发包人协助承包人办理上述手续。承包人应负责全部施工道路在整个施工期内的养护维修工作并承担相关费用。（</w:t>
      </w:r>
      <w:r>
        <w:rPr>
          <w:rFonts w:ascii="Times New Roman" w:hAnsi="Times New Roman" w:eastAsia="宋体" w:cs="Times New Roman"/>
          <w:b/>
          <w:color w:val="auto"/>
          <w:spacing w:val="-3"/>
          <w:szCs w:val="22"/>
          <w:highlight w:val="none"/>
          <w:u w:val="single"/>
        </w:rPr>
        <w:t>4</w:t>
      </w:r>
      <w:r>
        <w:rPr>
          <w:rFonts w:hint="eastAsia" w:ascii="Times New Roman" w:hAnsi="Times New Roman" w:eastAsia="宋体" w:cs="Times New Roman"/>
          <w:b/>
          <w:color w:val="auto"/>
          <w:spacing w:val="-3"/>
          <w:szCs w:val="22"/>
          <w:highlight w:val="none"/>
          <w:u w:val="single"/>
        </w:rPr>
        <w:t xml:space="preserve">）承包人必须按法律、法规等要求处置建筑垃圾，不得与不具备资质的渣土企业签订运输合同 </w:t>
      </w:r>
      <w:r>
        <w:rPr>
          <w:rFonts w:hint="eastAsia" w:ascii="宋体" w:hAnsi="宋体" w:eastAsia="宋体" w:cs="Times New Roman"/>
          <w:color w:val="auto"/>
          <w:szCs w:val="21"/>
          <w:highlight w:val="none"/>
        </w:rPr>
        <w:t>。</w:t>
      </w:r>
    </w:p>
    <w:p w14:paraId="77885F43">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238" w:name="_Toc256000234"/>
      <w:bookmarkStart w:id="239" w:name="_Toc487489982"/>
      <w:bookmarkStart w:id="240" w:name="_Toc35605772"/>
      <w:bookmarkStart w:id="241" w:name="_Toc256000114"/>
      <w:bookmarkStart w:id="242" w:name="_Toc256000136"/>
      <w:bookmarkStart w:id="243" w:name="_Toc12105"/>
      <w:bookmarkStart w:id="244" w:name="_Toc7185613"/>
      <w:bookmarkStart w:id="245" w:name="_Toc511635998"/>
      <w:bookmarkStart w:id="246" w:name="_Toc31356"/>
      <w:bookmarkStart w:id="247" w:name="_Toc256000163"/>
      <w:bookmarkStart w:id="248" w:name="_Toc26801"/>
      <w:bookmarkStart w:id="249" w:name="_Toc516816171"/>
      <w:bookmarkStart w:id="250" w:name="_Toc515441168"/>
      <w:r>
        <w:rPr>
          <w:rFonts w:hint="eastAsia" w:ascii="宋体" w:hAnsi="宋体" w:eastAsia="宋体" w:cs="Times New Roman"/>
          <w:b/>
          <w:bCs/>
          <w:color w:val="auto"/>
          <w:sz w:val="28"/>
          <w:szCs w:val="28"/>
          <w:highlight w:val="none"/>
        </w:rPr>
        <w:t>8 测量放线</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45746EA7">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251" w:name="_Toc262638001"/>
      <w:bookmarkStart w:id="252" w:name="_Toc511635999"/>
      <w:r>
        <w:rPr>
          <w:rFonts w:hint="eastAsia" w:ascii="宋体" w:hAnsi="宋体" w:eastAsia="宋体" w:cs="Times New Roman"/>
          <w:b/>
          <w:bCs/>
          <w:color w:val="auto"/>
          <w:sz w:val="28"/>
          <w:szCs w:val="28"/>
          <w:highlight w:val="none"/>
        </w:rPr>
        <w:t>8.1 施工控制网</w:t>
      </w:r>
      <w:bookmarkEnd w:id="251"/>
      <w:bookmarkEnd w:id="252"/>
    </w:p>
    <w:p w14:paraId="6B78A276">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8.1.1 施工控制网的约定：</w:t>
      </w:r>
      <w:r>
        <w:rPr>
          <w:rFonts w:hint="eastAsia" w:ascii="宋体" w:hAnsi="宋体" w:eastAsia="宋体" w:cs="Times New Roman"/>
          <w:color w:val="auto"/>
          <w:szCs w:val="21"/>
          <w:highlight w:val="none"/>
          <w:u w:val="single"/>
        </w:rPr>
        <w:t>承包人应根据国家测绘基准、测绘系统和工程测量技术规范，按上述基准点（线）以及合同工程精度要求，测设施工控制网，并在14天内将施工控制网资料报送监理人批准。</w:t>
      </w:r>
    </w:p>
    <w:p w14:paraId="20A6E7AA">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253" w:name="_Toc256000115"/>
      <w:bookmarkStart w:id="254" w:name="_Toc35605773"/>
      <w:bookmarkStart w:id="255" w:name="_Toc516816172"/>
      <w:bookmarkStart w:id="256" w:name="_Toc487489983"/>
      <w:bookmarkStart w:id="257" w:name="_Toc256000164"/>
      <w:bookmarkStart w:id="258" w:name="_Toc511636000"/>
      <w:bookmarkStart w:id="259" w:name="_Toc7185614"/>
      <w:bookmarkStart w:id="260" w:name="_Toc30761"/>
      <w:bookmarkStart w:id="261" w:name="_Toc256000137"/>
      <w:bookmarkStart w:id="262" w:name="_Toc256000235"/>
      <w:bookmarkStart w:id="263" w:name="_Toc13030"/>
      <w:bookmarkStart w:id="264" w:name="_Toc515441169"/>
      <w:bookmarkStart w:id="265" w:name="_Toc25098"/>
      <w:r>
        <w:rPr>
          <w:rFonts w:hint="eastAsia" w:ascii="宋体" w:hAnsi="宋体" w:eastAsia="宋体" w:cs="Times New Roman"/>
          <w:b/>
          <w:bCs/>
          <w:color w:val="auto"/>
          <w:sz w:val="28"/>
          <w:szCs w:val="28"/>
          <w:highlight w:val="none"/>
        </w:rPr>
        <w:t>9 施工安全、治安保卫和环境保护</w:t>
      </w:r>
      <w:bookmarkEnd w:id="253"/>
      <w:bookmarkEnd w:id="254"/>
      <w:bookmarkEnd w:id="255"/>
      <w:bookmarkEnd w:id="256"/>
      <w:bookmarkEnd w:id="257"/>
      <w:bookmarkEnd w:id="258"/>
      <w:bookmarkEnd w:id="259"/>
      <w:bookmarkEnd w:id="260"/>
      <w:bookmarkEnd w:id="261"/>
      <w:bookmarkEnd w:id="262"/>
      <w:bookmarkEnd w:id="263"/>
      <w:bookmarkEnd w:id="264"/>
      <w:bookmarkEnd w:id="265"/>
    </w:p>
    <w:p w14:paraId="01D06F87">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266" w:name="_Toc511636001"/>
      <w:r>
        <w:rPr>
          <w:rFonts w:hint="eastAsia" w:ascii="宋体" w:hAnsi="宋体" w:eastAsia="宋体" w:cs="Times New Roman"/>
          <w:b/>
          <w:bCs/>
          <w:color w:val="auto"/>
          <w:sz w:val="28"/>
          <w:szCs w:val="28"/>
          <w:highlight w:val="none"/>
        </w:rPr>
        <w:t>9.1 发包人的施工安全责任</w:t>
      </w:r>
      <w:bookmarkEnd w:id="266"/>
    </w:p>
    <w:p w14:paraId="0A9B8A4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9.1.4 发包人提供</w:t>
      </w:r>
      <w:r>
        <w:rPr>
          <w:rFonts w:hint="eastAsia" w:ascii="宋体" w:hAnsi="宋体" w:eastAsia="宋体" w:cs="Times New Roman"/>
          <w:color w:val="auto"/>
          <w:szCs w:val="21"/>
          <w:highlight w:val="none"/>
          <w:u w:val="single"/>
        </w:rPr>
        <w:t xml:space="preserve">  </w:t>
      </w:r>
      <w:r>
        <w:rPr>
          <w:rFonts w:hint="eastAsia" w:ascii="Times New Roman" w:hAnsi="Times New Roman" w:eastAsia="宋体" w:cs="Times New Roman"/>
          <w:b/>
          <w:color w:val="auto"/>
          <w:szCs w:val="22"/>
          <w:highlight w:val="none"/>
          <w:u w:val="single"/>
        </w:rPr>
        <w:t xml:space="preserve">无（由施工单位负责，所有材料、工程设备、临时设施均由施工单位承担） </w:t>
      </w:r>
      <w:r>
        <w:rPr>
          <w:rFonts w:hint="eastAsia" w:ascii="宋体" w:hAnsi="宋体" w:eastAsia="宋体" w:cs="Times New Roman"/>
          <w:color w:val="auto"/>
          <w:szCs w:val="21"/>
          <w:highlight w:val="none"/>
        </w:rPr>
        <w:t>资料，其余资料由承包人负责收集。</w:t>
      </w:r>
    </w:p>
    <w:p w14:paraId="7A378AEA">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267" w:name="_Toc262638003"/>
      <w:bookmarkStart w:id="268" w:name="_Toc511636003"/>
      <w:r>
        <w:rPr>
          <w:rFonts w:hint="eastAsia" w:ascii="宋体" w:hAnsi="宋体" w:eastAsia="宋体" w:cs="Times New Roman"/>
          <w:b/>
          <w:bCs/>
          <w:color w:val="auto"/>
          <w:sz w:val="28"/>
          <w:szCs w:val="28"/>
          <w:highlight w:val="none"/>
        </w:rPr>
        <w:t>9.7 文明工地</w:t>
      </w:r>
      <w:bookmarkEnd w:id="267"/>
      <w:bookmarkEnd w:id="268"/>
    </w:p>
    <w:p w14:paraId="768F350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9.7.1</w:t>
      </w:r>
      <w:r>
        <w:rPr>
          <w:rFonts w:hint="eastAsia" w:ascii="宋体" w:hAnsi="宋体" w:eastAsia="宋体" w:cs="Times New Roman"/>
          <w:color w:val="auto"/>
          <w:szCs w:val="21"/>
          <w:highlight w:val="none"/>
        </w:rPr>
        <w:t xml:space="preserve"> 本合同文明工地的约定：</w:t>
      </w:r>
      <w:bookmarkStart w:id="269" w:name="_Toc222032705"/>
      <w:bookmarkStart w:id="270" w:name="_Toc229305394"/>
      <w:bookmarkStart w:id="271" w:name="_Toc221951188"/>
      <w:bookmarkStart w:id="272" w:name="_Toc222029536"/>
      <w:bookmarkStart w:id="273" w:name="_Toc222031038"/>
      <w:bookmarkStart w:id="274" w:name="_Toc222033887"/>
      <w:bookmarkStart w:id="275" w:name="_Toc487489984"/>
      <w:r>
        <w:rPr>
          <w:rFonts w:hint="eastAsia" w:ascii="Times New Roman" w:hAnsi="Times New Roman" w:eastAsia="宋体" w:cs="Times New Roman"/>
          <w:color w:val="auto"/>
          <w:szCs w:val="21"/>
          <w:highlight w:val="none"/>
          <w:u w:val="single"/>
        </w:rPr>
        <w:t>承包人负责建立创建文明建设工地的组织机构，制定创建文明建设工地的规划和办法</w:t>
      </w:r>
      <w:r>
        <w:rPr>
          <w:rFonts w:hint="eastAsia" w:ascii="宋体" w:hAnsi="宋体" w:eastAsia="宋体" w:cs="Times New Roman"/>
          <w:color w:val="auto"/>
          <w:szCs w:val="21"/>
          <w:highlight w:val="none"/>
        </w:rPr>
        <w:t>。</w:t>
      </w:r>
    </w:p>
    <w:p w14:paraId="2B55A35C">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276" w:name="_Toc256000236"/>
      <w:bookmarkStart w:id="277" w:name="_Toc516816173"/>
      <w:bookmarkStart w:id="278" w:name="_Toc7185615"/>
      <w:bookmarkStart w:id="279" w:name="_Toc256000138"/>
      <w:bookmarkStart w:id="280" w:name="_Toc21186"/>
      <w:bookmarkStart w:id="281" w:name="_Toc256000116"/>
      <w:bookmarkStart w:id="282" w:name="_Toc511636004"/>
      <w:bookmarkStart w:id="283" w:name="_Toc35605774"/>
      <w:bookmarkStart w:id="284" w:name="_Toc11305"/>
      <w:bookmarkStart w:id="285" w:name="_Toc256000165"/>
      <w:bookmarkStart w:id="286" w:name="_Toc515441170"/>
      <w:bookmarkStart w:id="287" w:name="_Toc15269"/>
      <w:r>
        <w:rPr>
          <w:rFonts w:hint="eastAsia" w:ascii="宋体" w:hAnsi="宋体" w:eastAsia="宋体" w:cs="Times New Roman"/>
          <w:b/>
          <w:bCs/>
          <w:color w:val="auto"/>
          <w:sz w:val="28"/>
          <w:szCs w:val="28"/>
          <w:highlight w:val="none"/>
        </w:rPr>
        <w:t>11 开工和竣工</w:t>
      </w:r>
      <w:bookmarkEnd w:id="269"/>
      <w:bookmarkEnd w:id="270"/>
      <w:bookmarkEnd w:id="271"/>
      <w:bookmarkEnd w:id="272"/>
      <w:bookmarkEnd w:id="273"/>
      <w:bookmarkEnd w:id="274"/>
      <w:r>
        <w:rPr>
          <w:rFonts w:hint="eastAsia" w:ascii="宋体" w:hAnsi="宋体" w:eastAsia="宋体" w:cs="Times New Roman"/>
          <w:b/>
          <w:bCs/>
          <w:color w:val="auto"/>
          <w:sz w:val="28"/>
          <w:szCs w:val="28"/>
          <w:highlight w:val="none"/>
        </w:rPr>
        <w:t>（完工）</w:t>
      </w:r>
      <w:bookmarkEnd w:id="275"/>
      <w:bookmarkEnd w:id="276"/>
      <w:bookmarkEnd w:id="277"/>
      <w:bookmarkEnd w:id="278"/>
      <w:bookmarkEnd w:id="279"/>
      <w:bookmarkEnd w:id="280"/>
      <w:bookmarkEnd w:id="281"/>
      <w:bookmarkEnd w:id="282"/>
      <w:bookmarkEnd w:id="283"/>
      <w:bookmarkEnd w:id="284"/>
      <w:bookmarkEnd w:id="285"/>
      <w:bookmarkEnd w:id="286"/>
      <w:bookmarkEnd w:id="287"/>
    </w:p>
    <w:p w14:paraId="33327CB3">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288" w:name="_Toc511636005"/>
      <w:bookmarkStart w:id="289" w:name="_Toc221951189"/>
      <w:bookmarkStart w:id="290" w:name="_Toc262638005"/>
      <w:r>
        <w:rPr>
          <w:rFonts w:hint="eastAsia" w:ascii="宋体" w:hAnsi="宋体" w:eastAsia="宋体" w:cs="Times New Roman"/>
          <w:b/>
          <w:bCs/>
          <w:color w:val="auto"/>
          <w:sz w:val="28"/>
          <w:szCs w:val="28"/>
          <w:highlight w:val="none"/>
        </w:rPr>
        <w:t>11.4 异常恶劣的气候条件</w:t>
      </w:r>
      <w:bookmarkEnd w:id="288"/>
      <w:bookmarkEnd w:id="289"/>
      <w:bookmarkEnd w:id="290"/>
    </w:p>
    <w:p w14:paraId="7CFEFB1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91" w:name="_Toc221951191"/>
      <w:r>
        <w:rPr>
          <w:rFonts w:hint="eastAsia" w:ascii="宋体" w:hAnsi="宋体" w:eastAsia="宋体" w:cs="Times New Roman"/>
          <w:color w:val="auto"/>
          <w:szCs w:val="21"/>
          <w:highlight w:val="none"/>
        </w:rPr>
        <w:t>11.4.3 本合同工程界定异常恶劣气候条件的范围为：</w:t>
      </w:r>
      <w:bookmarkEnd w:id="291"/>
    </w:p>
    <w:p w14:paraId="383F0DF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92" w:name="_Toc221951192"/>
      <w:r>
        <w:rPr>
          <w:rFonts w:hint="eastAsia" w:ascii="宋体" w:hAnsi="宋体" w:eastAsia="宋体" w:cs="Times New Roman"/>
          <w:color w:val="auto"/>
          <w:szCs w:val="21"/>
          <w:highlight w:val="none"/>
        </w:rPr>
        <w:t>（1）日降雨量大于</w:t>
      </w:r>
      <w:r>
        <w:rPr>
          <w:rFonts w:hint="eastAsia" w:ascii="宋体" w:hAnsi="宋体" w:eastAsia="宋体" w:cs="Times New Roman"/>
          <w:color w:val="auto"/>
          <w:szCs w:val="21"/>
          <w:highlight w:val="none"/>
          <w:u w:val="single"/>
        </w:rPr>
        <w:t xml:space="preserve"> 50 </w:t>
      </w:r>
      <w:r>
        <w:rPr>
          <w:rFonts w:hint="eastAsia" w:ascii="宋体" w:hAnsi="宋体" w:eastAsia="宋体" w:cs="Times New Roman"/>
          <w:color w:val="auto"/>
          <w:szCs w:val="21"/>
          <w:highlight w:val="none"/>
        </w:rPr>
        <w:t>mm的雨日超过</w:t>
      </w:r>
      <w:r>
        <w:rPr>
          <w:rFonts w:hint="eastAsia" w:ascii="宋体" w:hAnsi="宋体" w:eastAsia="宋体" w:cs="Times New Roman"/>
          <w:color w:val="auto"/>
          <w:szCs w:val="21"/>
          <w:highlight w:val="none"/>
          <w:u w:val="single"/>
        </w:rPr>
        <w:t xml:space="preserve"> 1 </w:t>
      </w:r>
      <w:r>
        <w:rPr>
          <w:rFonts w:hint="eastAsia" w:ascii="宋体" w:hAnsi="宋体" w:eastAsia="宋体" w:cs="Times New Roman"/>
          <w:color w:val="auto"/>
          <w:szCs w:val="21"/>
          <w:highlight w:val="none"/>
        </w:rPr>
        <w:t>天。</w:t>
      </w:r>
      <w:bookmarkEnd w:id="292"/>
    </w:p>
    <w:p w14:paraId="6633AAE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93" w:name="_Toc221951193"/>
      <w:r>
        <w:rPr>
          <w:rFonts w:hint="eastAsia" w:ascii="宋体" w:hAnsi="宋体" w:eastAsia="宋体" w:cs="Times New Roman"/>
          <w:color w:val="auto"/>
          <w:szCs w:val="21"/>
          <w:highlight w:val="none"/>
        </w:rPr>
        <w:t>（2）风速大于</w:t>
      </w:r>
      <w:r>
        <w:rPr>
          <w:rFonts w:hint="eastAsia" w:ascii="宋体" w:hAnsi="宋体" w:eastAsia="宋体" w:cs="Times New Roman"/>
          <w:color w:val="auto"/>
          <w:szCs w:val="21"/>
          <w:highlight w:val="none"/>
          <w:u w:val="single"/>
        </w:rPr>
        <w:t xml:space="preserve"> 20  </w:t>
      </w:r>
      <w:r>
        <w:rPr>
          <w:rFonts w:hint="eastAsia" w:ascii="宋体" w:hAnsi="宋体" w:eastAsia="宋体" w:cs="Times New Roman"/>
          <w:color w:val="auto"/>
          <w:szCs w:val="21"/>
          <w:highlight w:val="none"/>
        </w:rPr>
        <w:t>m/s的</w:t>
      </w:r>
      <w:r>
        <w:rPr>
          <w:rFonts w:hint="eastAsia" w:ascii="宋体" w:hAnsi="宋体" w:eastAsia="宋体" w:cs="Times New Roman"/>
          <w:color w:val="auto"/>
          <w:szCs w:val="21"/>
          <w:highlight w:val="none"/>
          <w:u w:val="single"/>
        </w:rPr>
        <w:t xml:space="preserve"> 8 </w:t>
      </w:r>
      <w:r>
        <w:rPr>
          <w:rFonts w:hint="eastAsia" w:ascii="宋体" w:hAnsi="宋体" w:eastAsia="宋体" w:cs="Times New Roman"/>
          <w:color w:val="auto"/>
          <w:szCs w:val="21"/>
          <w:highlight w:val="none"/>
        </w:rPr>
        <w:t>级以上台风灾害</w:t>
      </w:r>
      <w:bookmarkEnd w:id="293"/>
      <w:r>
        <w:rPr>
          <w:rFonts w:hint="eastAsia" w:ascii="宋体" w:hAnsi="宋体" w:eastAsia="宋体" w:cs="Times New Roman"/>
          <w:color w:val="auto"/>
          <w:szCs w:val="21"/>
          <w:highlight w:val="none"/>
        </w:rPr>
        <w:t>。</w:t>
      </w:r>
    </w:p>
    <w:p w14:paraId="001BFC1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94" w:name="_Toc221951194"/>
      <w:r>
        <w:rPr>
          <w:rFonts w:hint="eastAsia" w:ascii="宋体" w:hAnsi="宋体" w:eastAsia="宋体" w:cs="Times New Roman"/>
          <w:color w:val="auto"/>
          <w:szCs w:val="21"/>
          <w:highlight w:val="none"/>
        </w:rPr>
        <w:t>（3）</w:t>
      </w:r>
      <w:bookmarkEnd w:id="294"/>
      <w:r>
        <w:rPr>
          <w:rFonts w:hint="eastAsia" w:ascii="宋体" w:hAnsi="宋体" w:eastAsia="宋体" w:cs="Times New Roman"/>
          <w:color w:val="auto"/>
          <w:szCs w:val="21"/>
          <w:highlight w:val="none"/>
        </w:rPr>
        <w:t>日气温超过</w:t>
      </w:r>
      <w:r>
        <w:rPr>
          <w:rFonts w:hint="eastAsia" w:ascii="宋体" w:hAnsi="宋体" w:eastAsia="宋体" w:cs="Times New Roman"/>
          <w:color w:val="auto"/>
          <w:szCs w:val="21"/>
          <w:highlight w:val="none"/>
          <w:u w:val="single"/>
        </w:rPr>
        <w:t xml:space="preserve"> 38 </w:t>
      </w:r>
      <w:r>
        <w:rPr>
          <w:rFonts w:hint="eastAsia" w:ascii="宋体" w:hAnsi="宋体" w:eastAsia="宋体" w:cs="Times New Roman"/>
          <w:color w:val="auto"/>
          <w:szCs w:val="21"/>
          <w:highlight w:val="none"/>
        </w:rPr>
        <w:t>℃的高温大于</w:t>
      </w:r>
      <w:r>
        <w:rPr>
          <w:rFonts w:hint="eastAsia" w:ascii="宋体" w:hAnsi="宋体" w:eastAsia="宋体" w:cs="Times New Roman"/>
          <w:color w:val="auto"/>
          <w:szCs w:val="21"/>
          <w:highlight w:val="none"/>
          <w:u w:val="single"/>
        </w:rPr>
        <w:t xml:space="preserve"> 3 </w:t>
      </w:r>
      <w:r>
        <w:rPr>
          <w:rFonts w:hint="eastAsia" w:ascii="宋体" w:hAnsi="宋体" w:eastAsia="宋体" w:cs="Times New Roman"/>
          <w:color w:val="auto"/>
          <w:szCs w:val="21"/>
          <w:highlight w:val="none"/>
        </w:rPr>
        <w:t>天。</w:t>
      </w:r>
    </w:p>
    <w:p w14:paraId="3D7B0DD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95" w:name="_Toc221951195"/>
      <w:r>
        <w:rPr>
          <w:rFonts w:hint="eastAsia" w:ascii="宋体" w:hAnsi="宋体" w:eastAsia="宋体" w:cs="Times New Roman"/>
          <w:color w:val="auto"/>
          <w:szCs w:val="21"/>
          <w:highlight w:val="none"/>
        </w:rPr>
        <w:t>（4）</w:t>
      </w:r>
      <w:bookmarkEnd w:id="295"/>
      <w:r>
        <w:rPr>
          <w:rFonts w:hint="eastAsia" w:ascii="宋体" w:hAnsi="宋体" w:eastAsia="宋体" w:cs="Times New Roman"/>
          <w:color w:val="auto"/>
          <w:szCs w:val="21"/>
          <w:highlight w:val="none"/>
        </w:rPr>
        <w:t>日气温低于</w:t>
      </w:r>
      <w:r>
        <w:rPr>
          <w:rFonts w:hint="eastAsia" w:ascii="宋体" w:hAnsi="宋体" w:eastAsia="宋体" w:cs="Times New Roman"/>
          <w:color w:val="auto"/>
          <w:szCs w:val="21"/>
          <w:highlight w:val="none"/>
          <w:u w:val="single"/>
        </w:rPr>
        <w:t xml:space="preserve"> -20 </w:t>
      </w:r>
      <w:r>
        <w:rPr>
          <w:rFonts w:hint="eastAsia" w:ascii="宋体" w:hAnsi="宋体" w:eastAsia="宋体" w:cs="Times New Roman"/>
          <w:color w:val="auto"/>
          <w:szCs w:val="21"/>
          <w:highlight w:val="none"/>
        </w:rPr>
        <w:t>℃的严寒大于</w:t>
      </w:r>
      <w:r>
        <w:rPr>
          <w:rFonts w:hint="eastAsia" w:ascii="宋体" w:hAnsi="宋体" w:eastAsia="宋体" w:cs="Times New Roman"/>
          <w:color w:val="auto"/>
          <w:szCs w:val="21"/>
          <w:highlight w:val="none"/>
          <w:u w:val="single"/>
        </w:rPr>
        <w:t xml:space="preserve"> 3 </w:t>
      </w:r>
      <w:r>
        <w:rPr>
          <w:rFonts w:hint="eastAsia" w:ascii="宋体" w:hAnsi="宋体" w:eastAsia="宋体" w:cs="Times New Roman"/>
          <w:color w:val="auto"/>
          <w:szCs w:val="21"/>
          <w:highlight w:val="none"/>
        </w:rPr>
        <w:t>天。</w:t>
      </w:r>
    </w:p>
    <w:p w14:paraId="1CCC35CF">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96" w:name="_Toc221951196"/>
      <w:r>
        <w:rPr>
          <w:rFonts w:hint="eastAsia" w:ascii="宋体" w:hAnsi="宋体" w:eastAsia="宋体" w:cs="Times New Roman"/>
          <w:color w:val="auto"/>
          <w:szCs w:val="21"/>
          <w:highlight w:val="none"/>
        </w:rPr>
        <w:t>（5）</w:t>
      </w:r>
      <w:bookmarkEnd w:id="296"/>
      <w:r>
        <w:rPr>
          <w:rFonts w:hint="eastAsia" w:ascii="宋体" w:hAnsi="宋体" w:eastAsia="宋体" w:cs="Times New Roman"/>
          <w:color w:val="auto"/>
          <w:szCs w:val="21"/>
          <w:highlight w:val="none"/>
        </w:rPr>
        <w:t>造成工程损坏的冰雹和大雪灾害：</w:t>
      </w:r>
      <w:r>
        <w:rPr>
          <w:rFonts w:hint="eastAsia" w:ascii="宋体" w:hAnsi="宋体" w:eastAsia="宋体" w:cs="Times New Roman"/>
          <w:color w:val="auto"/>
          <w:szCs w:val="21"/>
          <w:highlight w:val="none"/>
          <w:u w:val="single"/>
        </w:rPr>
        <w:t xml:space="preserve">   日降雪量10mm及以上   </w:t>
      </w:r>
      <w:r>
        <w:rPr>
          <w:rFonts w:hint="eastAsia" w:ascii="宋体" w:hAnsi="宋体" w:eastAsia="宋体" w:cs="Times New Roman"/>
          <w:color w:val="auto"/>
          <w:szCs w:val="21"/>
          <w:highlight w:val="none"/>
        </w:rPr>
        <w:t>。</w:t>
      </w:r>
    </w:p>
    <w:p w14:paraId="7E5BD91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297" w:name="_Toc221951197"/>
      <w:r>
        <w:rPr>
          <w:rFonts w:hint="eastAsia" w:ascii="宋体" w:hAnsi="宋体" w:eastAsia="宋体" w:cs="Times New Roman"/>
          <w:color w:val="auto"/>
          <w:szCs w:val="21"/>
          <w:highlight w:val="none"/>
        </w:rPr>
        <w:t>（6）其他异常恶劣气候灾害。</w:t>
      </w:r>
      <w:bookmarkEnd w:id="297"/>
    </w:p>
    <w:p w14:paraId="0992ED60">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298" w:name="_Toc262638006"/>
      <w:bookmarkStart w:id="299" w:name="_Toc511636006"/>
      <w:bookmarkStart w:id="300" w:name="_Toc221951198"/>
      <w:r>
        <w:rPr>
          <w:rFonts w:hint="eastAsia" w:ascii="宋体" w:hAnsi="宋体" w:eastAsia="宋体" w:cs="Times New Roman"/>
          <w:b/>
          <w:bCs/>
          <w:color w:val="auto"/>
          <w:sz w:val="28"/>
          <w:szCs w:val="28"/>
          <w:highlight w:val="none"/>
        </w:rPr>
        <w:t>11.5 承包人工期延误</w:t>
      </w:r>
      <w:bookmarkEnd w:id="298"/>
      <w:bookmarkEnd w:id="299"/>
      <w:bookmarkEnd w:id="300"/>
    </w:p>
    <w:p w14:paraId="26A30674">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301" w:name="_Toc221951200"/>
      <w:r>
        <w:rPr>
          <w:rFonts w:hint="eastAsia" w:ascii="宋体" w:hAnsi="宋体" w:eastAsia="宋体" w:cs="Times New Roman"/>
          <w:color w:val="auto"/>
          <w:szCs w:val="21"/>
          <w:highlight w:val="none"/>
        </w:rPr>
        <w:t>（1）逾期竣工违约金表（参考格式</w:t>
      </w:r>
      <w:bookmarkEnd w:id="301"/>
      <w:r>
        <w:rPr>
          <w:rFonts w:hint="eastAsia" w:ascii="宋体" w:hAnsi="宋体" w:eastAsia="宋体" w:cs="Times New Roman"/>
          <w:color w:val="auto"/>
          <w:szCs w:val="21"/>
          <w:highlight w:val="none"/>
        </w:rPr>
        <w:t>）</w:t>
      </w:r>
    </w:p>
    <w:tbl>
      <w:tblPr>
        <w:tblStyle w:val="17"/>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281"/>
        <w:gridCol w:w="1842"/>
        <w:gridCol w:w="1985"/>
      </w:tblGrid>
      <w:tr w14:paraId="29987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81" w:type="dxa"/>
            <w:noWrap w:val="0"/>
            <w:vAlign w:val="center"/>
          </w:tcPr>
          <w:p w14:paraId="4F4EB459">
            <w:pPr>
              <w:widowControl/>
              <w:shd w:val="clear" w:color="auto" w:fill="FFFFFF"/>
              <w:snapToGrid w:val="0"/>
              <w:spacing w:line="520" w:lineRule="exact"/>
              <w:jc w:val="center"/>
              <w:rPr>
                <w:rFonts w:ascii="宋体" w:hAnsi="宋体" w:eastAsia="宋体" w:cs="Times New Roman"/>
                <w:color w:val="auto"/>
                <w:szCs w:val="21"/>
                <w:highlight w:val="none"/>
              </w:rPr>
            </w:pPr>
            <w:bookmarkStart w:id="302" w:name="_Toc221951201"/>
            <w:r>
              <w:rPr>
                <w:rFonts w:hint="eastAsia" w:ascii="宋体" w:hAnsi="宋体" w:eastAsia="宋体" w:cs="Times New Roman"/>
                <w:color w:val="auto"/>
                <w:szCs w:val="21"/>
                <w:highlight w:val="none"/>
              </w:rPr>
              <w:t>序号</w:t>
            </w:r>
            <w:bookmarkEnd w:id="302"/>
          </w:p>
        </w:tc>
        <w:tc>
          <w:tcPr>
            <w:tcW w:w="4281" w:type="dxa"/>
            <w:noWrap w:val="0"/>
            <w:vAlign w:val="center"/>
          </w:tcPr>
          <w:p w14:paraId="585EDFF8">
            <w:pPr>
              <w:widowControl/>
              <w:shd w:val="clear" w:color="auto" w:fill="FFFFFF"/>
              <w:snapToGrid w:val="0"/>
              <w:spacing w:line="520" w:lineRule="exact"/>
              <w:jc w:val="center"/>
              <w:rPr>
                <w:rFonts w:ascii="宋体" w:hAnsi="宋体" w:eastAsia="宋体" w:cs="Times New Roman"/>
                <w:color w:val="auto"/>
                <w:szCs w:val="21"/>
                <w:highlight w:val="none"/>
              </w:rPr>
            </w:pPr>
            <w:bookmarkStart w:id="303" w:name="_Toc221951202"/>
            <w:r>
              <w:rPr>
                <w:rFonts w:hint="eastAsia" w:ascii="宋体" w:hAnsi="宋体" w:eastAsia="宋体" w:cs="Times New Roman"/>
                <w:color w:val="auto"/>
                <w:szCs w:val="21"/>
                <w:highlight w:val="none"/>
              </w:rPr>
              <w:t>项目及其说明</w:t>
            </w:r>
            <w:bookmarkEnd w:id="303"/>
          </w:p>
        </w:tc>
        <w:tc>
          <w:tcPr>
            <w:tcW w:w="1842" w:type="dxa"/>
            <w:noWrap w:val="0"/>
            <w:vAlign w:val="center"/>
          </w:tcPr>
          <w:p w14:paraId="7D1F7D1A">
            <w:pPr>
              <w:widowControl/>
              <w:shd w:val="clear" w:color="auto" w:fill="FFFFFF"/>
              <w:snapToGrid w:val="0"/>
              <w:spacing w:line="520" w:lineRule="exact"/>
              <w:jc w:val="center"/>
              <w:rPr>
                <w:rFonts w:ascii="宋体" w:hAnsi="宋体" w:eastAsia="宋体" w:cs="Times New Roman"/>
                <w:color w:val="auto"/>
                <w:szCs w:val="21"/>
                <w:highlight w:val="none"/>
              </w:rPr>
            </w:pPr>
            <w:bookmarkStart w:id="304" w:name="_Toc221951203"/>
            <w:r>
              <w:rPr>
                <w:rFonts w:hint="eastAsia" w:ascii="宋体" w:hAnsi="宋体" w:eastAsia="宋体" w:cs="Times New Roman"/>
                <w:color w:val="auto"/>
                <w:szCs w:val="21"/>
                <w:highlight w:val="none"/>
              </w:rPr>
              <w:t>要求完工日期</w:t>
            </w:r>
            <w:bookmarkEnd w:id="304"/>
          </w:p>
        </w:tc>
        <w:tc>
          <w:tcPr>
            <w:tcW w:w="1985" w:type="dxa"/>
            <w:noWrap w:val="0"/>
            <w:vAlign w:val="center"/>
          </w:tcPr>
          <w:p w14:paraId="092ED2F9">
            <w:pPr>
              <w:widowControl/>
              <w:shd w:val="clear" w:color="auto" w:fill="FFFFFF"/>
              <w:snapToGrid w:val="0"/>
              <w:spacing w:line="520" w:lineRule="exact"/>
              <w:jc w:val="center"/>
              <w:rPr>
                <w:rFonts w:ascii="宋体" w:hAnsi="宋体" w:eastAsia="宋体" w:cs="Times New Roman"/>
                <w:color w:val="auto"/>
                <w:szCs w:val="21"/>
                <w:highlight w:val="none"/>
              </w:rPr>
            </w:pPr>
            <w:bookmarkStart w:id="305" w:name="_Toc221951204"/>
            <w:r>
              <w:rPr>
                <w:rFonts w:hint="eastAsia" w:ascii="宋体" w:hAnsi="宋体" w:eastAsia="宋体" w:cs="Times New Roman"/>
                <w:color w:val="auto"/>
                <w:szCs w:val="21"/>
                <w:highlight w:val="none"/>
              </w:rPr>
              <w:t>违约金(元/天)</w:t>
            </w:r>
            <w:bookmarkEnd w:id="305"/>
          </w:p>
        </w:tc>
      </w:tr>
      <w:tr w14:paraId="15552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noWrap w:val="0"/>
            <w:vAlign w:val="center"/>
          </w:tcPr>
          <w:p w14:paraId="363B2CF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4281" w:type="dxa"/>
            <w:noWrap w:val="0"/>
            <w:vAlign w:val="center"/>
          </w:tcPr>
          <w:p w14:paraId="5DC8F30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842" w:type="dxa"/>
            <w:noWrap w:val="0"/>
            <w:vAlign w:val="center"/>
          </w:tcPr>
          <w:p w14:paraId="4CB0761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985" w:type="dxa"/>
            <w:noWrap w:val="0"/>
            <w:vAlign w:val="top"/>
          </w:tcPr>
          <w:p w14:paraId="53B1523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r w14:paraId="0AB8D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81" w:type="dxa"/>
            <w:noWrap w:val="0"/>
            <w:vAlign w:val="center"/>
          </w:tcPr>
          <w:p w14:paraId="185BE2D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4281" w:type="dxa"/>
            <w:noWrap w:val="0"/>
            <w:vAlign w:val="center"/>
          </w:tcPr>
          <w:p w14:paraId="74D9CEFC">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842" w:type="dxa"/>
            <w:noWrap w:val="0"/>
            <w:vAlign w:val="center"/>
          </w:tcPr>
          <w:p w14:paraId="40F261A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985" w:type="dxa"/>
            <w:noWrap w:val="0"/>
            <w:vAlign w:val="top"/>
          </w:tcPr>
          <w:p w14:paraId="340DD06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r w14:paraId="76AAC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noWrap w:val="0"/>
            <w:vAlign w:val="center"/>
          </w:tcPr>
          <w:p w14:paraId="25168E44">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4281" w:type="dxa"/>
            <w:noWrap w:val="0"/>
            <w:vAlign w:val="center"/>
          </w:tcPr>
          <w:p w14:paraId="1C0C2EF9">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842" w:type="dxa"/>
            <w:noWrap w:val="0"/>
            <w:vAlign w:val="center"/>
          </w:tcPr>
          <w:p w14:paraId="174ED03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985" w:type="dxa"/>
            <w:noWrap w:val="0"/>
            <w:vAlign w:val="top"/>
          </w:tcPr>
          <w:p w14:paraId="0D0600C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r w14:paraId="77774D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noWrap w:val="0"/>
            <w:vAlign w:val="center"/>
          </w:tcPr>
          <w:p w14:paraId="5894A75F">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4281" w:type="dxa"/>
            <w:noWrap w:val="0"/>
            <w:vAlign w:val="center"/>
          </w:tcPr>
          <w:p w14:paraId="3DF9F60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842" w:type="dxa"/>
            <w:noWrap w:val="0"/>
            <w:vAlign w:val="center"/>
          </w:tcPr>
          <w:p w14:paraId="064117C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c>
          <w:tcPr>
            <w:tcW w:w="1985" w:type="dxa"/>
            <w:noWrap w:val="0"/>
            <w:vAlign w:val="top"/>
          </w:tcPr>
          <w:p w14:paraId="288D7571">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p>
        </w:tc>
      </w:tr>
    </w:tbl>
    <w:p w14:paraId="68283E4A">
      <w:pPr>
        <w:widowControl/>
        <w:numPr>
          <w:ilvl w:val="0"/>
          <w:numId w:val="3"/>
        </w:numPr>
        <w:shd w:val="clear" w:color="auto" w:fill="FFFFFF"/>
        <w:snapToGrid w:val="0"/>
        <w:ind w:firstLine="420" w:firstLineChars="200"/>
        <w:jc w:val="left"/>
        <w:rPr>
          <w:rFonts w:hint="eastAsia" w:ascii="宋体" w:hAnsi="宋体" w:eastAsia="宋体" w:cs="宋体"/>
          <w:b/>
          <w:color w:val="auto"/>
          <w:szCs w:val="22"/>
          <w:highlight w:val="none"/>
          <w:u w:val="single"/>
          <w:shd w:val="clear" w:color="auto" w:fill="FFFFFF"/>
        </w:rPr>
      </w:pPr>
      <w:bookmarkStart w:id="306" w:name="_Toc221951205"/>
      <w:r>
        <w:rPr>
          <w:rFonts w:hint="eastAsia" w:ascii="宋体" w:hAnsi="宋体" w:eastAsia="宋体" w:cs="Times New Roman"/>
          <w:color w:val="auto"/>
          <w:szCs w:val="21"/>
          <w:highlight w:val="none"/>
        </w:rPr>
        <w:t>全部逾期完工违约金的总限额为</w:t>
      </w:r>
      <w:r>
        <w:rPr>
          <w:rFonts w:hint="eastAsia" w:ascii="宋体" w:hAnsi="宋体" w:eastAsia="宋体" w:cs="宋体"/>
          <w:b/>
          <w:color w:val="auto"/>
          <w:szCs w:val="22"/>
          <w:highlight w:val="none"/>
          <w:u w:val="single"/>
          <w:shd w:val="clear" w:color="auto" w:fill="FFFFFF"/>
        </w:rPr>
        <w:t xml:space="preserve"> </w:t>
      </w:r>
      <w:bookmarkEnd w:id="306"/>
      <w:r>
        <w:rPr>
          <w:rFonts w:hint="eastAsia" w:ascii="宋体" w:hAnsi="宋体" w:eastAsia="宋体" w:cs="Times New Roman"/>
          <w:color w:val="auto"/>
          <w:szCs w:val="21"/>
          <w:highlight w:val="none"/>
          <w:u w:val="single"/>
        </w:rPr>
        <w:t xml:space="preserve"> </w:t>
      </w:r>
      <w:r>
        <w:rPr>
          <w:rFonts w:hint="eastAsia" w:ascii="宋体" w:hAnsi="宋体" w:eastAsia="宋体" w:cs="宋体"/>
          <w:b/>
          <w:color w:val="auto"/>
          <w:szCs w:val="22"/>
          <w:highlight w:val="none"/>
          <w:u w:val="single"/>
          <w:shd w:val="clear" w:color="auto" w:fill="FFFFFF"/>
        </w:rPr>
        <w:t>若承包人逾期未能完成，应向发包人支付逾期完工违约金</w:t>
      </w:r>
      <w:r>
        <w:rPr>
          <w:rFonts w:hint="eastAsia" w:ascii="宋体" w:hAnsi="宋体" w:eastAsia="宋体" w:cs="宋体"/>
          <w:b/>
          <w:color w:val="auto"/>
          <w:szCs w:val="22"/>
          <w:highlight w:val="none"/>
          <w:u w:val="single"/>
          <w:shd w:val="clear" w:color="auto" w:fill="FFFFFF"/>
          <w:lang w:val="en-US" w:eastAsia="zh-CN"/>
        </w:rPr>
        <w:t>每日5000</w:t>
      </w:r>
      <w:r>
        <w:rPr>
          <w:rFonts w:hint="eastAsia" w:ascii="宋体" w:hAnsi="宋体" w:eastAsia="宋体" w:cs="宋体"/>
          <w:b/>
          <w:color w:val="auto"/>
          <w:szCs w:val="22"/>
          <w:highlight w:val="none"/>
          <w:u w:val="single"/>
          <w:shd w:val="clear" w:color="auto" w:fill="FFFFFF"/>
        </w:rPr>
        <w:t>元</w:t>
      </w:r>
      <w:r>
        <w:rPr>
          <w:rFonts w:hint="eastAsia" w:ascii="宋体" w:hAnsi="宋体" w:eastAsia="宋体" w:cs="宋体"/>
          <w:b/>
          <w:color w:val="auto"/>
          <w:szCs w:val="22"/>
          <w:highlight w:val="none"/>
          <w:u w:val="single"/>
          <w:shd w:val="clear" w:color="auto" w:fill="FFFFFF"/>
          <w:lang w:eastAsia="zh-CN"/>
        </w:rPr>
        <w:t>。</w:t>
      </w:r>
      <w:r>
        <w:rPr>
          <w:rFonts w:hint="eastAsia" w:ascii="宋体" w:hAnsi="宋体" w:eastAsia="宋体" w:cs="宋体"/>
          <w:b/>
          <w:color w:val="auto"/>
          <w:szCs w:val="22"/>
          <w:highlight w:val="none"/>
          <w:u w:val="single"/>
          <w:shd w:val="clear" w:color="auto" w:fill="FFFFFF"/>
        </w:rPr>
        <w:t>逾期完工违约金的总限额不超过合同总价的20%。</w:t>
      </w:r>
    </w:p>
    <w:p w14:paraId="7D9D9144">
      <w:pPr>
        <w:widowControl/>
        <w:numPr>
          <w:ilvl w:val="0"/>
          <w:numId w:val="3"/>
        </w:numPr>
        <w:shd w:val="clear" w:color="auto" w:fill="FFFFFF"/>
        <w:snapToGrid w:val="0"/>
        <w:ind w:firstLine="422" w:firstLineChars="200"/>
        <w:jc w:val="left"/>
        <w:rPr>
          <w:rFonts w:hint="eastAsia" w:ascii="宋体" w:hAnsi="宋体" w:eastAsia="宋体" w:cs="宋体"/>
          <w:b/>
          <w:color w:val="auto"/>
          <w:szCs w:val="22"/>
          <w:highlight w:val="none"/>
          <w:u w:val="single"/>
          <w:shd w:val="clear" w:color="auto" w:fill="FFFFFF"/>
        </w:rPr>
      </w:pPr>
      <w:r>
        <w:rPr>
          <w:rFonts w:hint="eastAsia" w:ascii="宋体" w:hAnsi="宋体" w:eastAsia="宋体" w:cs="宋体"/>
          <w:b/>
          <w:color w:val="auto"/>
          <w:szCs w:val="22"/>
          <w:highlight w:val="none"/>
          <w:u w:val="single"/>
          <w:shd w:val="clear" w:color="auto" w:fill="FFFFFF"/>
        </w:rPr>
        <w:t>缺陷责任期（工程质量保修期）为</w:t>
      </w:r>
      <w:r>
        <w:rPr>
          <w:rFonts w:hint="eastAsia" w:ascii="宋体" w:hAnsi="宋体" w:eastAsia="宋体" w:cs="宋体"/>
          <w:color w:val="auto"/>
          <w:szCs w:val="21"/>
          <w:highlight w:val="none"/>
          <w:u w:val="single"/>
          <w:lang w:val="en-US" w:eastAsia="zh-CN"/>
        </w:rPr>
        <w:t>水生植物</w:t>
      </w:r>
      <w:r>
        <w:rPr>
          <w:rFonts w:hint="eastAsia" w:ascii="宋体" w:hAnsi="宋体" w:eastAsia="宋体" w:cs="宋体"/>
          <w:color w:val="auto"/>
          <w:szCs w:val="21"/>
          <w:highlight w:val="none"/>
          <w:u w:val="single"/>
        </w:rPr>
        <w:t>种植工程养护期为完工验收合格之日起</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年，其他工程通过完工验收合格之日算起 24 个月</w:t>
      </w:r>
      <w:r>
        <w:rPr>
          <w:rFonts w:hint="eastAsia" w:ascii="宋体" w:hAnsi="宋体" w:eastAsia="宋体" w:cs="宋体"/>
          <w:b/>
          <w:color w:val="auto"/>
          <w:szCs w:val="22"/>
          <w:highlight w:val="none"/>
          <w:u w:val="single"/>
          <w:shd w:val="clear" w:color="auto" w:fill="FFFFFF"/>
        </w:rPr>
        <w:t>。</w:t>
      </w:r>
    </w:p>
    <w:p w14:paraId="26496007">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307" w:name="_Toc262638007"/>
      <w:bookmarkStart w:id="308" w:name="_Toc511636007"/>
      <w:r>
        <w:rPr>
          <w:rFonts w:hint="eastAsia" w:ascii="宋体" w:hAnsi="宋体" w:eastAsia="宋体" w:cs="Times New Roman"/>
          <w:b/>
          <w:bCs/>
          <w:color w:val="auto"/>
          <w:sz w:val="28"/>
          <w:szCs w:val="28"/>
          <w:highlight w:val="none"/>
        </w:rPr>
        <w:t>11.6工期提前</w:t>
      </w:r>
      <w:bookmarkEnd w:id="307"/>
      <w:bookmarkEnd w:id="308"/>
    </w:p>
    <w:p w14:paraId="7A6B09A4">
      <w:pPr>
        <w:widowControl/>
        <w:shd w:val="clear" w:color="auto" w:fill="FFFFFF"/>
        <w:snapToGrid w:val="0"/>
        <w:spacing w:line="52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工期提前的奖金约定：</w:t>
      </w:r>
      <w:r>
        <w:rPr>
          <w:rFonts w:hint="eastAsia" w:ascii="宋体" w:hAnsi="宋体" w:eastAsia="宋体" w:cs="Times New Roman"/>
          <w:color w:val="auto"/>
          <w:szCs w:val="21"/>
          <w:highlight w:val="none"/>
          <w:u w:val="single"/>
        </w:rPr>
        <w:t xml:space="preserve">    </w:t>
      </w:r>
      <w:r>
        <w:rPr>
          <w:rFonts w:hint="eastAsia" w:ascii="Times New Roman" w:hAnsi="Times New Roman" w:eastAsia="宋体" w:cs="Times New Roman"/>
          <w:b/>
          <w:color w:val="auto"/>
          <w:szCs w:val="22"/>
          <w:highlight w:val="none"/>
          <w:u w:val="single"/>
        </w:rPr>
        <w:t>无</w:t>
      </w:r>
      <w:r>
        <w:rPr>
          <w:rFonts w:hint="eastAsia" w:ascii="宋体" w:hAnsi="宋体" w:eastAsia="宋体" w:cs="Times New Roman"/>
          <w:b/>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bookmarkStart w:id="604" w:name="_GoBack"/>
      <w:bookmarkEnd w:id="604"/>
    </w:p>
    <w:p w14:paraId="67F264A8">
      <w:pPr>
        <w:keepNext/>
        <w:keepLines/>
        <w:adjustRightInd w:val="0"/>
        <w:snapToGrid w:val="0"/>
        <w:spacing w:line="360" w:lineRule="auto"/>
        <w:outlineLvl w:val="3"/>
        <w:rPr>
          <w:rFonts w:ascii="宋体" w:hAnsi="宋体" w:eastAsia="宋体" w:cs="Times New Roman"/>
          <w:b/>
          <w:bCs/>
          <w:color w:val="auto"/>
          <w:kern w:val="0"/>
          <w:sz w:val="28"/>
          <w:szCs w:val="28"/>
          <w:highlight w:val="none"/>
        </w:rPr>
      </w:pPr>
      <w:r>
        <w:rPr>
          <w:rFonts w:hint="eastAsia" w:ascii="宋体" w:hAnsi="宋体" w:eastAsia="宋体" w:cs="Times New Roman"/>
          <w:b/>
          <w:bCs/>
          <w:color w:val="auto"/>
          <w:kern w:val="0"/>
          <w:sz w:val="28"/>
          <w:szCs w:val="28"/>
          <w:highlight w:val="none"/>
        </w:rPr>
        <w:t>11.7承包人可以顺延工期的其他情况</w:t>
      </w:r>
    </w:p>
    <w:p w14:paraId="104B80EA">
      <w:pPr>
        <w:adjustRightInd w:val="0"/>
        <w:snapToGrid w:val="0"/>
        <w:spacing w:line="360" w:lineRule="auto"/>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由于以下原因造成竣工日期推迟的延误，经发包人确认，工期相应顺延：</w:t>
      </w:r>
    </w:p>
    <w:p w14:paraId="1C5BF908">
      <w:pPr>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(1)24小时内停水、停电累计超过8小时；</w:t>
      </w:r>
    </w:p>
    <w:p w14:paraId="51456EC5">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(2)发生合同争议时,调解部门、仲裁机构、法院要求停工的； </w:t>
      </w:r>
    </w:p>
    <w:p w14:paraId="2E5F0691">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(3)政府部门通知停工的或上级主管部门检查等原因车辆不能上路造成停工的经发包人确认的；</w:t>
      </w:r>
    </w:p>
    <w:p w14:paraId="2041B86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(4)因设计变更图纸修改造成的工期延误的</w:t>
      </w:r>
    </w:p>
    <w:p w14:paraId="7CD06590">
      <w:pPr>
        <w:adjustRightInd w:val="0"/>
        <w:snapToGrid w:val="0"/>
        <w:spacing w:line="360" w:lineRule="auto"/>
        <w:ind w:firstLine="283" w:firstLineChars="135"/>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rPr>
        <w:t>（5）发包人、承包人双方共同协商认为应工期顺延的其他情况。</w:t>
      </w:r>
    </w:p>
    <w:p w14:paraId="23889D16">
      <w:pPr>
        <w:adjustRightInd w:val="0"/>
        <w:snapToGrid w:val="0"/>
        <w:spacing w:line="360" w:lineRule="auto"/>
        <w:ind w:firstLine="420" w:firstLineChars="200"/>
        <w:jc w:val="left"/>
        <w:rPr>
          <w:rFonts w:hint="eastAsia" w:ascii="Times New Roman" w:hAnsi="Times New Roman" w:eastAsia="宋体" w:cs="Times New Roman"/>
          <w:color w:val="auto"/>
          <w:kern w:val="0"/>
          <w:sz w:val="24"/>
          <w:szCs w:val="22"/>
          <w:highlight w:val="none"/>
        </w:rPr>
      </w:pPr>
      <w:r>
        <w:rPr>
          <w:rFonts w:hint="eastAsia" w:ascii="Times New Roman" w:hAnsi="Times New Roman" w:eastAsia="宋体" w:cs="Times New Roman"/>
          <w:color w:val="auto"/>
          <w:kern w:val="0"/>
          <w:szCs w:val="21"/>
          <w:highlight w:val="none"/>
        </w:rPr>
        <w:t>承包人在以上情况发生后3日内，就延误的内容和因此发生的经济支出向发包人、监理方提出报告。发包人在收到报告后7日内予以确认答复，逾期不予答复，承包人即可视为延期要求已被确认。</w:t>
      </w:r>
    </w:p>
    <w:p w14:paraId="44DC502F">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309" w:name="_Toc256000237"/>
      <w:bookmarkStart w:id="310" w:name="_Toc221951206"/>
      <w:bookmarkStart w:id="311" w:name="_Toc222031039"/>
      <w:bookmarkStart w:id="312" w:name="_Toc14764"/>
      <w:bookmarkStart w:id="313" w:name="_Toc28644"/>
      <w:bookmarkStart w:id="314" w:name="_Toc9738"/>
      <w:bookmarkStart w:id="315" w:name="_Toc511636008"/>
      <w:bookmarkStart w:id="316" w:name="_Toc229305395"/>
      <w:bookmarkStart w:id="317" w:name="_Toc35605775"/>
      <w:bookmarkStart w:id="318" w:name="_Toc222032706"/>
      <w:bookmarkStart w:id="319" w:name="_Toc256000117"/>
      <w:bookmarkStart w:id="320" w:name="_Toc487489985"/>
      <w:bookmarkStart w:id="321" w:name="_Toc7185616"/>
      <w:bookmarkStart w:id="322" w:name="_Toc515441171"/>
      <w:bookmarkStart w:id="323" w:name="_Toc222033888"/>
      <w:bookmarkStart w:id="324" w:name="_Toc516816174"/>
      <w:bookmarkStart w:id="325" w:name="_Toc256000166"/>
      <w:bookmarkStart w:id="326" w:name="_Toc256000139"/>
      <w:bookmarkStart w:id="327" w:name="_Toc222029537"/>
      <w:r>
        <w:rPr>
          <w:rFonts w:hint="eastAsia" w:ascii="宋体" w:hAnsi="宋体" w:eastAsia="宋体" w:cs="Times New Roman"/>
          <w:b/>
          <w:bCs/>
          <w:color w:val="auto"/>
          <w:sz w:val="28"/>
          <w:szCs w:val="28"/>
          <w:highlight w:val="none"/>
        </w:rPr>
        <w:t>12 暂停施工</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1B07260C">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328" w:name="_Toc262638010"/>
      <w:bookmarkStart w:id="329" w:name="_Toc511636010"/>
      <w:r>
        <w:rPr>
          <w:rFonts w:hint="eastAsia" w:ascii="宋体" w:hAnsi="宋体" w:eastAsia="宋体" w:cs="Times New Roman"/>
          <w:b/>
          <w:bCs/>
          <w:color w:val="auto"/>
          <w:sz w:val="28"/>
          <w:szCs w:val="28"/>
          <w:highlight w:val="none"/>
        </w:rPr>
        <w:t>12.2 发包人暂停施工的责任</w:t>
      </w:r>
      <w:bookmarkEnd w:id="328"/>
      <w:bookmarkEnd w:id="329"/>
    </w:p>
    <w:p w14:paraId="5A436AE5">
      <w:pPr>
        <w:adjustRightInd w:val="0"/>
        <w:snapToGrid w:val="0"/>
        <w:spacing w:line="360" w:lineRule="auto"/>
        <w:ind w:firstLine="436" w:firstLineChars="200"/>
        <w:jc w:val="left"/>
        <w:rPr>
          <w:rFonts w:hint="eastAsia" w:ascii="宋体" w:hAnsi="宋体" w:eastAsia="宋体" w:cs="宋体"/>
          <w:color w:val="auto"/>
          <w:spacing w:val="4"/>
          <w:szCs w:val="21"/>
          <w:highlight w:val="none"/>
          <w:u w:val="single"/>
        </w:rPr>
      </w:pPr>
      <w:bookmarkStart w:id="330" w:name="_Toc7185617"/>
      <w:bookmarkStart w:id="331" w:name="_Toc35605776"/>
      <w:bookmarkStart w:id="332" w:name="_Toc256000140"/>
      <w:bookmarkStart w:id="333" w:name="_Toc487489986"/>
      <w:bookmarkStart w:id="334" w:name="_Toc10535"/>
      <w:bookmarkStart w:id="335" w:name="_Toc515441172"/>
      <w:bookmarkStart w:id="336" w:name="_Toc511636011"/>
      <w:bookmarkStart w:id="337" w:name="_Toc256000118"/>
      <w:bookmarkStart w:id="338" w:name="_Toc516816175"/>
      <w:r>
        <w:rPr>
          <w:rFonts w:hint="eastAsia" w:ascii="宋体" w:hAnsi="宋体" w:eastAsia="宋体" w:cs="宋体"/>
          <w:color w:val="auto"/>
          <w:spacing w:val="4"/>
          <w:szCs w:val="21"/>
          <w:highlight w:val="none"/>
          <w:lang w:bidi="ar"/>
        </w:rPr>
        <w:t>12.2.1 本条通用合同条款删除，修改为：</w:t>
      </w:r>
      <w:r>
        <w:rPr>
          <w:rFonts w:hint="eastAsia" w:ascii="宋体" w:hAnsi="宋体" w:eastAsia="宋体" w:cs="宋体"/>
          <w:color w:val="auto"/>
          <w:spacing w:val="4"/>
          <w:szCs w:val="21"/>
          <w:highlight w:val="none"/>
          <w:u w:val="single"/>
          <w:lang w:bidi="ar"/>
        </w:rPr>
        <w:t>发包人认为必要时，可通过监理人向承包人发出暂停工作的指示，承包人应按监理人指示暂停工作。由于发包人原因引起的暂停施工造成工期延误的，承包人仅有权要求发包人延长工期，发包人不承担由此增加的费用和（或）利润。</w:t>
      </w:r>
    </w:p>
    <w:p w14:paraId="72D79A38">
      <w:pPr>
        <w:keepNext/>
        <w:keepLines/>
        <w:spacing w:line="360" w:lineRule="auto"/>
        <w:ind w:firstLine="422" w:firstLineChars="200"/>
        <w:outlineLvl w:val="2"/>
        <w:rPr>
          <w:rFonts w:hint="eastAsia" w:ascii="宋体" w:hAnsi="宋体" w:eastAsia="宋体" w:cs="宋体"/>
          <w:b/>
          <w:bCs/>
          <w:color w:val="auto"/>
          <w:szCs w:val="21"/>
          <w:highlight w:val="none"/>
        </w:rPr>
      </w:pPr>
      <w:bookmarkStart w:id="339" w:name="_Toc256000167"/>
      <w:bookmarkStart w:id="340" w:name="_Toc12440"/>
      <w:bookmarkStart w:id="341" w:name="_Toc15808"/>
      <w:bookmarkStart w:id="342" w:name="_Toc256000238"/>
      <w:r>
        <w:rPr>
          <w:rFonts w:hint="eastAsia" w:ascii="宋体" w:hAnsi="宋体" w:eastAsia="宋体" w:cs="宋体"/>
          <w:b/>
          <w:bCs/>
          <w:color w:val="auto"/>
          <w:szCs w:val="21"/>
          <w:highlight w:val="none"/>
        </w:rPr>
        <w:t>12.3 暂停工作后的照管</w:t>
      </w:r>
      <w:bookmarkEnd w:id="339"/>
      <w:bookmarkEnd w:id="340"/>
      <w:bookmarkEnd w:id="341"/>
      <w:bookmarkEnd w:id="342"/>
    </w:p>
    <w:p w14:paraId="56CA36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不论由于何种原因引起暂停工作的，暂停工作期间，承包人应负责妥善保护工程并提供安全保障，由此增加的费用由承包人承担。</w:t>
      </w:r>
    </w:p>
    <w:p w14:paraId="6D8D6CE2">
      <w:pPr>
        <w:keepNext/>
        <w:keepLines/>
        <w:spacing w:line="360" w:lineRule="auto"/>
        <w:ind w:firstLine="422" w:firstLineChars="200"/>
        <w:outlineLvl w:val="2"/>
        <w:rPr>
          <w:rFonts w:hint="eastAsia" w:ascii="宋体" w:hAnsi="宋体" w:eastAsia="宋体" w:cs="宋体"/>
          <w:b/>
          <w:bCs/>
          <w:color w:val="auto"/>
          <w:szCs w:val="21"/>
          <w:highlight w:val="none"/>
        </w:rPr>
      </w:pPr>
      <w:bookmarkStart w:id="343" w:name="_Toc6906"/>
      <w:bookmarkStart w:id="344" w:name="_Toc15232"/>
      <w:bookmarkStart w:id="345" w:name="_Toc1897"/>
      <w:bookmarkStart w:id="346" w:name="_Toc256000168"/>
      <w:bookmarkStart w:id="347" w:name="_Toc256000239"/>
      <w:bookmarkStart w:id="348" w:name="_Toc256000203"/>
      <w:r>
        <w:rPr>
          <w:rFonts w:hint="eastAsia" w:ascii="宋体" w:hAnsi="宋体" w:eastAsia="宋体" w:cs="宋体"/>
          <w:b/>
          <w:bCs/>
          <w:color w:val="auto"/>
          <w:szCs w:val="21"/>
          <w:highlight w:val="none"/>
        </w:rPr>
        <w:t>12.4 暂停工作后的复工</w:t>
      </w:r>
      <w:bookmarkEnd w:id="343"/>
      <w:bookmarkEnd w:id="344"/>
      <w:bookmarkEnd w:id="345"/>
      <w:bookmarkEnd w:id="346"/>
      <w:bookmarkEnd w:id="347"/>
      <w:bookmarkEnd w:id="348"/>
    </w:p>
    <w:p w14:paraId="6AE501A7">
      <w:pPr>
        <w:tabs>
          <w:tab w:val="left" w:pos="221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12.4.2</w:t>
      </w:r>
      <w:r>
        <w:rPr>
          <w:rFonts w:hint="eastAsia" w:ascii="宋体" w:hAnsi="宋体" w:eastAsia="宋体" w:cs="宋体"/>
          <w:color w:val="auto"/>
          <w:spacing w:val="4"/>
          <w:szCs w:val="21"/>
          <w:highlight w:val="none"/>
          <w:lang w:bidi="ar"/>
        </w:rPr>
        <w:t>本条通用合同条款删除，修改为</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u w:val="single"/>
          <w:lang w:bidi="ar"/>
        </w:rPr>
        <w:t>承包人无故拖延和拒绝复工的，由此增加的费用和工期延误由承包人承担；因发包人原因无法按时复工的，承包人仅有权要求发包人延长工期，发包人不承担由此增加的费用</w:t>
      </w:r>
      <w:r>
        <w:rPr>
          <w:rFonts w:hint="eastAsia" w:ascii="宋体" w:hAnsi="宋体" w:eastAsia="宋体" w:cs="宋体"/>
          <w:color w:val="auto"/>
          <w:spacing w:val="4"/>
          <w:szCs w:val="21"/>
          <w:highlight w:val="none"/>
          <w:u w:val="single"/>
          <w:lang w:bidi="ar"/>
        </w:rPr>
        <w:t>和（或）</w:t>
      </w:r>
      <w:r>
        <w:rPr>
          <w:rFonts w:hint="eastAsia" w:ascii="宋体" w:hAnsi="宋体" w:eastAsia="宋体" w:cs="宋体"/>
          <w:color w:val="auto"/>
          <w:szCs w:val="21"/>
          <w:highlight w:val="none"/>
          <w:u w:val="single"/>
          <w:lang w:bidi="ar"/>
        </w:rPr>
        <w:t>利润</w:t>
      </w:r>
      <w:r>
        <w:rPr>
          <w:rFonts w:hint="eastAsia" w:ascii="宋体" w:hAnsi="宋体" w:eastAsia="宋体" w:cs="宋体"/>
          <w:color w:val="auto"/>
          <w:szCs w:val="21"/>
          <w:highlight w:val="none"/>
          <w:lang w:bidi="ar"/>
        </w:rPr>
        <w:t>。</w:t>
      </w:r>
    </w:p>
    <w:p w14:paraId="20327DFD">
      <w:pPr>
        <w:keepNext/>
        <w:keepLines/>
        <w:spacing w:line="440" w:lineRule="exact"/>
        <w:ind w:firstLine="422" w:firstLineChars="200"/>
        <w:outlineLvl w:val="2"/>
        <w:rPr>
          <w:rFonts w:hint="eastAsia" w:ascii="宋体" w:hAnsi="宋体" w:eastAsia="宋体" w:cs="宋体"/>
          <w:b/>
          <w:bCs/>
          <w:color w:val="auto"/>
          <w:szCs w:val="21"/>
          <w:highlight w:val="none"/>
        </w:rPr>
      </w:pPr>
      <w:bookmarkStart w:id="349" w:name="_Toc8623"/>
      <w:bookmarkStart w:id="350" w:name="_Toc6371"/>
      <w:bookmarkStart w:id="351" w:name="_Toc23319"/>
      <w:bookmarkStart w:id="352" w:name="_Toc256000204"/>
      <w:bookmarkStart w:id="353" w:name="_Toc256000169"/>
      <w:bookmarkStart w:id="354" w:name="_Toc256000240"/>
      <w:r>
        <w:rPr>
          <w:rFonts w:hint="eastAsia" w:ascii="宋体" w:hAnsi="宋体" w:eastAsia="宋体" w:cs="宋体"/>
          <w:b/>
          <w:bCs/>
          <w:color w:val="auto"/>
          <w:szCs w:val="21"/>
          <w:highlight w:val="none"/>
        </w:rPr>
        <w:t>12.5 暂停工作56天以上</w:t>
      </w:r>
      <w:bookmarkEnd w:id="349"/>
      <w:bookmarkEnd w:id="350"/>
      <w:bookmarkEnd w:id="351"/>
      <w:bookmarkEnd w:id="352"/>
      <w:bookmarkEnd w:id="353"/>
      <w:bookmarkEnd w:id="354"/>
    </w:p>
    <w:p w14:paraId="38D9AADE">
      <w:pPr>
        <w:spacing w:line="440" w:lineRule="exact"/>
        <w:ind w:firstLine="420" w:firstLineChars="200"/>
        <w:rPr>
          <w:rFonts w:hint="eastAsia" w:ascii="宋体" w:hAnsi="宋体" w:eastAsia="宋体" w:cs="宋体"/>
          <w:color w:val="auto"/>
          <w:spacing w:val="4"/>
          <w:szCs w:val="21"/>
          <w:highlight w:val="none"/>
          <w:lang w:val="zh-CN" w:bidi="ar"/>
        </w:rPr>
      </w:pPr>
      <w:r>
        <w:rPr>
          <w:rFonts w:hint="eastAsia" w:ascii="宋体" w:hAnsi="宋体" w:eastAsia="宋体" w:cs="宋体"/>
          <w:color w:val="auto"/>
          <w:szCs w:val="21"/>
          <w:highlight w:val="none"/>
          <w:lang w:bidi="ar"/>
        </w:rPr>
        <w:t>12.5.2修改为：</w:t>
      </w:r>
      <w:r>
        <w:rPr>
          <w:rFonts w:hint="eastAsia" w:ascii="宋体" w:hAnsi="宋体" w:eastAsia="宋体" w:cs="宋体"/>
          <w:color w:val="auto"/>
          <w:szCs w:val="21"/>
          <w:highlight w:val="none"/>
          <w:u w:val="single"/>
          <w:lang w:bidi="ar"/>
        </w:rPr>
        <w:t>由于承包人原因引起暂停工作，造成工期延误的，承包人应按照本合同专用条款第11.5条的约定承担工期延误的违约责任。如承包人在收到监理人暂停工作指示后56个日历天内不采取有效的复工措施，发包人有权单方解除合同，不予返还履约保证金或提取履约保函项下的金额，履约担保不足以赔偿发包人损失的，承包人仍应足额赔偿。同时承包人应在解除合同后30个日历天移交并退出施工场地，并且承包人应无条件移交相关工程资料及协助续建施工单位完成变更施工手续，否则承包人应按每延误一天处违约金5000元。</w:t>
      </w:r>
    </w:p>
    <w:p w14:paraId="6028403A">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355" w:name="_Toc256000170"/>
      <w:bookmarkStart w:id="356" w:name="_Toc20634"/>
      <w:bookmarkStart w:id="357" w:name="_Toc5843"/>
      <w:bookmarkStart w:id="358" w:name="_Toc256000241"/>
      <w:r>
        <w:rPr>
          <w:rFonts w:hint="eastAsia" w:ascii="宋体" w:hAnsi="宋体" w:eastAsia="宋体" w:cs="Times New Roman"/>
          <w:b/>
          <w:bCs/>
          <w:color w:val="auto"/>
          <w:sz w:val="28"/>
          <w:szCs w:val="28"/>
          <w:highlight w:val="none"/>
        </w:rPr>
        <w:t>13 工程质量</w:t>
      </w:r>
      <w:bookmarkEnd w:id="330"/>
      <w:bookmarkEnd w:id="331"/>
      <w:bookmarkEnd w:id="332"/>
      <w:bookmarkEnd w:id="333"/>
      <w:bookmarkEnd w:id="334"/>
      <w:bookmarkEnd w:id="335"/>
      <w:bookmarkEnd w:id="336"/>
      <w:bookmarkEnd w:id="337"/>
      <w:bookmarkEnd w:id="338"/>
      <w:bookmarkEnd w:id="355"/>
      <w:bookmarkEnd w:id="356"/>
      <w:bookmarkEnd w:id="357"/>
      <w:bookmarkEnd w:id="358"/>
    </w:p>
    <w:p w14:paraId="041C14D3">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359" w:name="_Toc511636012"/>
      <w:bookmarkStart w:id="360" w:name="_Toc262638012"/>
      <w:r>
        <w:rPr>
          <w:rFonts w:hint="eastAsia" w:ascii="宋体" w:hAnsi="宋体" w:eastAsia="宋体" w:cs="Times New Roman"/>
          <w:b/>
          <w:bCs/>
          <w:color w:val="auto"/>
          <w:sz w:val="28"/>
          <w:szCs w:val="28"/>
          <w:highlight w:val="none"/>
        </w:rPr>
        <w:t>13.7 质量评定</w:t>
      </w:r>
      <w:bookmarkEnd w:id="359"/>
      <w:bookmarkEnd w:id="360"/>
    </w:p>
    <w:p w14:paraId="328EBC65">
      <w:pPr>
        <w:keepNext/>
        <w:keepLines/>
        <w:adjustRightInd w:val="0"/>
        <w:snapToGrid w:val="0"/>
        <w:spacing w:line="520" w:lineRule="exact"/>
        <w:ind w:firstLine="420" w:firstLineChars="200"/>
        <w:outlineLvl w:val="3"/>
        <w:rPr>
          <w:rFonts w:hint="eastAsia" w:ascii="宋体" w:hAnsi="宋体" w:eastAsia="宋体" w:cs="宋体"/>
          <w:color w:val="auto"/>
          <w:szCs w:val="21"/>
          <w:highlight w:val="none"/>
        </w:rPr>
      </w:pPr>
      <w:bookmarkStart w:id="361" w:name="_Toc262638013"/>
      <w:bookmarkStart w:id="362" w:name="_Toc511636013"/>
      <w:r>
        <w:rPr>
          <w:rFonts w:hint="eastAsia" w:ascii="宋体" w:hAnsi="宋体" w:eastAsia="宋体" w:cs="宋体"/>
          <w:color w:val="auto"/>
          <w:szCs w:val="21"/>
          <w:highlight w:val="none"/>
        </w:rPr>
        <w:t>13.7.1</w:t>
      </w:r>
      <w:r>
        <w:rPr>
          <w:rFonts w:hint="eastAsia" w:ascii="宋体" w:hAnsi="宋体" w:eastAsia="宋体" w:cs="宋体"/>
          <w:color w:val="auto"/>
          <w:spacing w:val="4"/>
          <w:szCs w:val="21"/>
          <w:highlight w:val="none"/>
          <w:u w:val="single"/>
          <w:lang w:bidi="ar"/>
        </w:rPr>
        <w:t>符合国家现行施工验收规范和《水利水电建设工程验收规程》（SL/T 223—2025）、《水利水电工程单元工程施工质量验收标准》系列（SL/T 631.1 - 631.4—2025）</w:t>
      </w:r>
      <w:r>
        <w:rPr>
          <w:rFonts w:hint="eastAsia" w:ascii="宋体" w:hAnsi="宋体" w:eastAsia="宋体" w:cs="宋体"/>
          <w:color w:val="auto"/>
          <w:spacing w:val="4"/>
          <w:szCs w:val="21"/>
          <w:highlight w:val="none"/>
          <w:u w:val="single"/>
          <w:lang w:val="en-US" w:eastAsia="zh-CN" w:bidi="ar"/>
        </w:rPr>
        <w:t>、</w:t>
      </w:r>
      <w:r>
        <w:rPr>
          <w:rFonts w:hint="eastAsia" w:ascii="宋体" w:hAnsi="宋体" w:eastAsia="宋体" w:cs="宋体"/>
          <w:color w:val="auto"/>
          <w:spacing w:val="4"/>
          <w:szCs w:val="21"/>
          <w:highlight w:val="none"/>
          <w:u w:val="single"/>
          <w:lang w:bidi="ar"/>
        </w:rPr>
        <w:t>《园林绿化工程施工及验收规范》及其它相关规范合格标准。</w:t>
      </w:r>
    </w:p>
    <w:p w14:paraId="614438DE">
      <w:pPr>
        <w:adjustRightInd w:val="0"/>
        <w:snapToGrid w:val="0"/>
        <w:spacing w:line="360" w:lineRule="auto"/>
        <w:ind w:firstLine="420" w:firstLineChars="200"/>
        <w:jc w:val="left"/>
        <w:rPr>
          <w:rFonts w:hint="eastAsia" w:ascii="宋体" w:hAnsi="宋体" w:eastAsia="宋体" w:cs="宋体"/>
          <w:color w:val="auto"/>
          <w:spacing w:val="4"/>
          <w:szCs w:val="21"/>
          <w:highlight w:val="none"/>
          <w:u w:val="single"/>
        </w:rPr>
      </w:pPr>
      <w:r>
        <w:rPr>
          <w:rFonts w:hint="eastAsia" w:ascii="宋体" w:hAnsi="宋体" w:eastAsia="宋体" w:cs="宋体"/>
          <w:color w:val="auto"/>
          <w:szCs w:val="21"/>
          <w:highlight w:val="none"/>
        </w:rPr>
        <w:t>13.7.2</w:t>
      </w:r>
      <w:r>
        <w:rPr>
          <w:rFonts w:hint="eastAsia" w:ascii="宋体" w:hAnsi="宋体" w:eastAsia="宋体" w:cs="宋体"/>
          <w:color w:val="auto"/>
          <w:spacing w:val="4"/>
          <w:szCs w:val="21"/>
          <w:highlight w:val="none"/>
          <w:lang w:bidi="ar"/>
        </w:rPr>
        <w:t>关于工程质量要求的其它约定：</w:t>
      </w:r>
      <w:r>
        <w:rPr>
          <w:rFonts w:hint="eastAsia" w:ascii="宋体" w:hAnsi="宋体" w:eastAsia="宋体" w:cs="宋体"/>
          <w:color w:val="auto"/>
          <w:spacing w:val="4"/>
          <w:szCs w:val="21"/>
          <w:highlight w:val="none"/>
          <w:u w:val="single"/>
          <w:lang w:bidi="ar"/>
        </w:rPr>
        <w:t>（1）若发包人或监理人现场检查时，发现有工程质量问题的，责令承包人限期整改；若未及时整改的，承包人向发包人缴纳5万元的违约金，直接缴纳到</w:t>
      </w:r>
      <w:r>
        <w:rPr>
          <w:rFonts w:hint="eastAsia" w:ascii="宋体" w:hAnsi="宋体" w:eastAsia="宋体" w:cs="宋体"/>
          <w:color w:val="auto"/>
          <w:szCs w:val="21"/>
          <w:highlight w:val="none"/>
          <w:u w:val="single"/>
          <w:lang w:bidi="ar"/>
        </w:rPr>
        <w:t>发包人</w:t>
      </w:r>
      <w:r>
        <w:rPr>
          <w:rFonts w:hint="eastAsia" w:ascii="宋体" w:hAnsi="宋体" w:eastAsia="宋体" w:cs="宋体"/>
          <w:color w:val="auto"/>
          <w:spacing w:val="4"/>
          <w:szCs w:val="21"/>
          <w:highlight w:val="none"/>
          <w:u w:val="single"/>
          <w:lang w:bidi="ar"/>
        </w:rPr>
        <w:t>账号，未缴纳，发包人有权从应付工程款中直接扣除；（2）工程材料及设备质量应符合国家相关材料设备管理条例及相关规范合格标准。（3）因承包人原因造成工程质量达不到合同约定验收标准的，发包人或监理人有权要求承包人返工直至符合合同要求为止，由此造成的费用增加和（或）工期延误由承包人承担，并承担工期延误的违约金。工程完工验收时未能达到相应验收规范的合格标准要求，承包人应当按照有关验收部门的要求整改，直至使其达到合格标准。</w:t>
      </w:r>
    </w:p>
    <w:p w14:paraId="4E0CE15C">
      <w:pPr>
        <w:adjustRightInd w:val="0"/>
        <w:snapToGrid w:val="0"/>
        <w:spacing w:line="360" w:lineRule="auto"/>
        <w:ind w:firstLine="436" w:firstLineChars="200"/>
        <w:jc w:val="left"/>
        <w:rPr>
          <w:rFonts w:hint="eastAsia" w:ascii="宋体" w:hAnsi="宋体" w:eastAsia="宋体" w:cs="宋体"/>
          <w:color w:val="auto"/>
          <w:spacing w:val="4"/>
          <w:szCs w:val="21"/>
          <w:highlight w:val="none"/>
        </w:rPr>
      </w:pPr>
      <w:r>
        <w:rPr>
          <w:rFonts w:hint="eastAsia" w:ascii="宋体" w:hAnsi="宋体" w:eastAsia="宋体" w:cs="宋体"/>
          <w:color w:val="auto"/>
          <w:spacing w:val="4"/>
          <w:szCs w:val="21"/>
          <w:highlight w:val="none"/>
          <w:lang w:bidi="ar"/>
        </w:rPr>
        <w:t>关于工程质量奖项的约定：</w:t>
      </w:r>
      <w:r>
        <w:rPr>
          <w:rFonts w:hint="eastAsia" w:ascii="宋体" w:hAnsi="宋体" w:eastAsia="宋体" w:cs="宋体"/>
          <w:color w:val="auto"/>
          <w:spacing w:val="4"/>
          <w:szCs w:val="21"/>
          <w:highlight w:val="none"/>
          <w:u w:val="single"/>
          <w:lang w:bidi="ar"/>
        </w:rPr>
        <w:t>无</w:t>
      </w:r>
      <w:r>
        <w:rPr>
          <w:rFonts w:hint="eastAsia" w:ascii="宋体" w:hAnsi="宋体" w:eastAsia="宋体" w:cs="宋体"/>
          <w:color w:val="auto"/>
          <w:spacing w:val="4"/>
          <w:szCs w:val="21"/>
          <w:highlight w:val="none"/>
          <w:lang w:bidi="ar"/>
        </w:rPr>
        <w:t>。</w:t>
      </w:r>
    </w:p>
    <w:p w14:paraId="2C8FB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13.7.3 监理人重新检查</w:t>
      </w:r>
    </w:p>
    <w:p w14:paraId="1F183D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本合同通用条款删除，修改为：</w:t>
      </w:r>
      <w:r>
        <w:rPr>
          <w:rFonts w:hint="eastAsia" w:ascii="宋体" w:hAnsi="宋体" w:eastAsia="宋体" w:cs="宋体"/>
          <w:color w:val="auto"/>
          <w:szCs w:val="21"/>
          <w:highlight w:val="none"/>
          <w:u w:val="single"/>
          <w:lang w:bidi="ar"/>
        </w:rPr>
        <w:t>承包人按通用条款第13.4.1项或第13.4.2项覆盖工程隐蔽部位后，监理人对质量有疑问的，可要求承包人对已覆盖的部位进行钻孔探测或揭开重新检验，承包人应遵照执行，并在检验后重新覆盖恢复原状。经检验证明工程质量符合合同要求的，发包人仅承担由此增加的费用和（或）工期延误；经检验证明工程质量不符合合同要求的，由此增加的费用和（或）工期延误由承包人承担，并按本合同第13.1.2约定条款执行</w:t>
      </w:r>
      <w:r>
        <w:rPr>
          <w:rFonts w:hint="eastAsia" w:ascii="宋体" w:hAnsi="宋体" w:eastAsia="宋体" w:cs="宋体"/>
          <w:color w:val="auto"/>
          <w:szCs w:val="21"/>
          <w:highlight w:val="none"/>
          <w:lang w:bidi="ar"/>
        </w:rPr>
        <w:t>。</w:t>
      </w:r>
    </w:p>
    <w:p w14:paraId="1CBDC49D">
      <w:pPr>
        <w:spacing w:line="360" w:lineRule="auto"/>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13.7.4承包人私自覆盖</w:t>
      </w:r>
    </w:p>
    <w:p w14:paraId="7389FEA6">
      <w:pPr>
        <w:adjustRightInd w:val="0"/>
        <w:snapToGrid w:val="0"/>
        <w:spacing w:line="520" w:lineRule="exact"/>
        <w:ind w:firstLine="420" w:firstLineChars="200"/>
        <w:outlineLvl w:val="3"/>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本合同通用条款删除，修改为：</w:t>
      </w:r>
      <w:r>
        <w:rPr>
          <w:rFonts w:hint="eastAsia" w:ascii="宋体" w:hAnsi="宋体" w:eastAsia="宋体" w:cs="宋体"/>
          <w:color w:val="auto"/>
          <w:szCs w:val="21"/>
          <w:highlight w:val="none"/>
          <w:u w:val="single"/>
          <w:lang w:bidi="ar"/>
        </w:rPr>
        <w:t>承包人未通知监理人到场检查私自隐蔽，发包人和监理人有权责令其重新检查，无论质量是否合格，由此增加的费用和延误的工期均由承包人承担。若检查不合格，则需进行返工，以确保工程的总体质量，由此引起的一切损失由承包人承担</w:t>
      </w:r>
      <w:r>
        <w:rPr>
          <w:rFonts w:hint="eastAsia" w:ascii="宋体" w:hAnsi="宋体" w:eastAsia="宋体" w:cs="宋体"/>
          <w:color w:val="auto"/>
          <w:szCs w:val="21"/>
          <w:highlight w:val="none"/>
          <w:lang w:bidi="ar"/>
        </w:rPr>
        <w:t>。</w:t>
      </w:r>
    </w:p>
    <w:bookmarkEnd w:id="361"/>
    <w:bookmarkEnd w:id="362"/>
    <w:p w14:paraId="047E79C7">
      <w:pPr>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363" w:name="_Toc7185618"/>
      <w:bookmarkStart w:id="364" w:name="_Toc487489987"/>
      <w:bookmarkStart w:id="365" w:name="_Toc515441173"/>
      <w:bookmarkStart w:id="366" w:name="_Toc256000141"/>
      <w:bookmarkStart w:id="367" w:name="_Toc9498"/>
      <w:bookmarkStart w:id="368" w:name="_Toc256000171"/>
      <w:bookmarkStart w:id="369" w:name="_Toc516816176"/>
      <w:bookmarkStart w:id="370" w:name="_Toc31969"/>
      <w:bookmarkStart w:id="371" w:name="_Toc256000119"/>
      <w:bookmarkStart w:id="372" w:name="_Toc511636014"/>
      <w:bookmarkStart w:id="373" w:name="_Toc256000242"/>
      <w:bookmarkStart w:id="374" w:name="_Toc30308"/>
      <w:bookmarkStart w:id="375" w:name="_Toc35605777"/>
      <w:r>
        <w:rPr>
          <w:rFonts w:ascii="宋体" w:hAnsi="宋体" w:eastAsia="宋体" w:cs="Times New Roman"/>
          <w:b/>
          <w:bCs/>
          <w:color w:val="auto"/>
          <w:sz w:val="28"/>
          <w:szCs w:val="28"/>
          <w:highlight w:val="none"/>
        </w:rPr>
        <w:t>14</w:t>
      </w:r>
      <w:r>
        <w:rPr>
          <w:rFonts w:hint="eastAsia" w:ascii="宋体" w:hAnsi="宋体" w:eastAsia="宋体" w:cs="Times New Roman"/>
          <w:b/>
          <w:bCs/>
          <w:color w:val="auto"/>
          <w:sz w:val="28"/>
          <w:szCs w:val="28"/>
          <w:highlight w:val="none"/>
        </w:rPr>
        <w:t xml:space="preserve"> 试验和检验</w:t>
      </w:r>
      <w:bookmarkEnd w:id="363"/>
      <w:bookmarkEnd w:id="364"/>
      <w:bookmarkEnd w:id="365"/>
      <w:bookmarkEnd w:id="366"/>
      <w:bookmarkEnd w:id="367"/>
      <w:bookmarkEnd w:id="368"/>
      <w:bookmarkEnd w:id="369"/>
      <w:bookmarkEnd w:id="370"/>
      <w:bookmarkEnd w:id="371"/>
      <w:bookmarkEnd w:id="372"/>
      <w:bookmarkEnd w:id="373"/>
      <w:bookmarkEnd w:id="374"/>
      <w:bookmarkEnd w:id="375"/>
    </w:p>
    <w:p w14:paraId="29B59590">
      <w:pPr>
        <w:keepLines/>
        <w:adjustRightInd w:val="0"/>
        <w:snapToGrid w:val="0"/>
        <w:spacing w:line="520" w:lineRule="exact"/>
        <w:ind w:firstLine="436" w:firstLineChars="200"/>
        <w:jc w:val="left"/>
        <w:outlineLvl w:val="2"/>
        <w:rPr>
          <w:rFonts w:hint="eastAsia" w:ascii="宋体" w:hAnsi="宋体" w:eastAsia="宋体" w:cs="宋体"/>
          <w:color w:val="auto"/>
          <w:spacing w:val="4"/>
          <w:szCs w:val="21"/>
          <w:highlight w:val="none"/>
          <w:lang w:bidi="ar"/>
        </w:rPr>
      </w:pPr>
      <w:bookmarkStart w:id="376" w:name="_Toc29865"/>
      <w:bookmarkStart w:id="377" w:name="_Toc256000172"/>
      <w:bookmarkStart w:id="378" w:name="_Toc21698"/>
      <w:bookmarkStart w:id="379" w:name="_Toc256000243"/>
      <w:bookmarkStart w:id="380" w:name="_Toc511636016"/>
      <w:bookmarkStart w:id="381" w:name="_Toc515441174"/>
      <w:bookmarkStart w:id="382" w:name="_Toc229305396"/>
      <w:bookmarkStart w:id="383" w:name="_Toc25253"/>
      <w:bookmarkStart w:id="384" w:name="_Toc256000142"/>
      <w:bookmarkStart w:id="385" w:name="_Toc222029539"/>
      <w:bookmarkStart w:id="386" w:name="_Toc222032708"/>
      <w:bookmarkStart w:id="387" w:name="_Toc222033890"/>
      <w:bookmarkStart w:id="388" w:name="_Toc256000120"/>
      <w:bookmarkStart w:id="389" w:name="_Toc221951213"/>
      <w:bookmarkStart w:id="390" w:name="_Toc7185619"/>
      <w:bookmarkStart w:id="391" w:name="_Toc222031041"/>
      <w:bookmarkStart w:id="392" w:name="_Toc516816177"/>
      <w:bookmarkStart w:id="393" w:name="_Toc35605778"/>
      <w:bookmarkStart w:id="394" w:name="_Toc487489988"/>
      <w:r>
        <w:rPr>
          <w:rFonts w:hint="eastAsia" w:ascii="宋体" w:hAnsi="宋体" w:eastAsia="宋体" w:cs="宋体"/>
          <w:color w:val="auto"/>
          <w:spacing w:val="4"/>
          <w:szCs w:val="21"/>
          <w:highlight w:val="none"/>
          <w:lang w:bidi="ar"/>
        </w:rPr>
        <w:t>14.1.4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发包人仅承担由此增加的费用和（或）工期延误。</w:t>
      </w:r>
      <w:bookmarkEnd w:id="376"/>
      <w:bookmarkEnd w:id="377"/>
      <w:bookmarkEnd w:id="378"/>
      <w:bookmarkEnd w:id="379"/>
    </w:p>
    <w:p w14:paraId="7A4EEADE">
      <w:pPr>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395" w:name="_Toc24681"/>
      <w:bookmarkStart w:id="396" w:name="_Toc256000244"/>
      <w:bookmarkStart w:id="397" w:name="_Toc256000173"/>
      <w:bookmarkStart w:id="398" w:name="_Toc6525"/>
      <w:r>
        <w:rPr>
          <w:rFonts w:hint="eastAsia" w:ascii="宋体" w:hAnsi="宋体" w:eastAsia="宋体" w:cs="Times New Roman"/>
          <w:b/>
          <w:bCs/>
          <w:color w:val="auto"/>
          <w:sz w:val="28"/>
          <w:szCs w:val="28"/>
          <w:highlight w:val="none"/>
        </w:rPr>
        <w:t>15 变更</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5CE0E0A6">
      <w:pPr>
        <w:keepLines/>
        <w:adjustRightInd w:val="0"/>
        <w:snapToGrid w:val="0"/>
        <w:spacing w:line="520" w:lineRule="exact"/>
        <w:outlineLvl w:val="3"/>
        <w:rPr>
          <w:rFonts w:ascii="Arial" w:hAnsi="Arial" w:eastAsia="黑体" w:cs="Times New Roman"/>
          <w:b/>
          <w:bCs/>
          <w:color w:val="auto"/>
          <w:sz w:val="28"/>
          <w:szCs w:val="28"/>
          <w:highlight w:val="none"/>
        </w:rPr>
      </w:pPr>
      <w:bookmarkStart w:id="399" w:name="_Toc511636017"/>
      <w:bookmarkStart w:id="400" w:name="_Toc262638017"/>
      <w:bookmarkStart w:id="401" w:name="_Toc221951214"/>
      <w:r>
        <w:rPr>
          <w:rFonts w:hint="eastAsia" w:ascii="宋体" w:hAnsi="宋体" w:eastAsia="宋体" w:cs="Times New Roman"/>
          <w:b/>
          <w:bCs/>
          <w:color w:val="auto"/>
          <w:sz w:val="28"/>
          <w:szCs w:val="28"/>
          <w:highlight w:val="none"/>
        </w:rPr>
        <w:t>15.1 变更的范围和内容</w:t>
      </w:r>
      <w:bookmarkEnd w:id="399"/>
      <w:bookmarkEnd w:id="400"/>
      <w:bookmarkEnd w:id="401"/>
    </w:p>
    <w:p w14:paraId="7D907EDF">
      <w:pPr>
        <w:shd w:val="clear" w:color="auto" w:fill="FFFFFF"/>
        <w:spacing w:before="120" w:after="120" w:line="360" w:lineRule="auto"/>
        <w:jc w:val="left"/>
        <w:rPr>
          <w:rFonts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shd w:val="clear" w:color="auto" w:fill="FFFFFF"/>
        </w:rPr>
        <w:t>（1）国有投资项目在建设实施过程中出现下列情形之一，可以申请设计变更：</w:t>
      </w:r>
    </w:p>
    <w:p w14:paraId="6876BE34">
      <w:pPr>
        <w:shd w:val="clear" w:color="auto" w:fill="FFFFFF"/>
        <w:spacing w:before="120" w:after="120" w:line="360" w:lineRule="auto"/>
        <w:jc w:val="left"/>
        <w:rPr>
          <w:rFonts w:hint="eastAsia" w:ascii="Times New Roman" w:hAnsi="Times New Roman" w:eastAsia="宋体" w:cs="Times New Roman"/>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　　（一）因自然灾害等不可抗力造成项目条件发生重大变化的；</w:t>
      </w:r>
    </w:p>
    <w:p w14:paraId="1F92F22B">
      <w:pPr>
        <w:shd w:val="clear" w:color="auto" w:fill="FFFFFF"/>
        <w:spacing w:before="120" w:after="120" w:line="360" w:lineRule="auto"/>
        <w:jc w:val="left"/>
        <w:rPr>
          <w:rFonts w:hint="eastAsia" w:ascii="Times New Roman" w:hAnsi="Times New Roman" w:eastAsia="宋体" w:cs="Times New Roman"/>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　　（二）因资源、水文地质、工程地质、考古及调查、勘察等情况有重大变化，需要调整建设方案的；</w:t>
      </w:r>
    </w:p>
    <w:p w14:paraId="3BDEB6B3">
      <w:pPr>
        <w:shd w:val="clear" w:color="auto" w:fill="FFFFFF"/>
        <w:spacing w:before="120" w:after="120" w:line="360" w:lineRule="auto"/>
        <w:jc w:val="left"/>
        <w:rPr>
          <w:rFonts w:hint="eastAsia" w:ascii="Times New Roman" w:hAnsi="Times New Roman" w:eastAsia="宋体" w:cs="Times New Roman"/>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　　（三）原设计图纸存在缺陷或错误，无法保证施工质量和安全的；</w:t>
      </w:r>
    </w:p>
    <w:p w14:paraId="34B75B08">
      <w:pPr>
        <w:shd w:val="clear" w:color="auto" w:fill="FFFFFF"/>
        <w:spacing w:before="120" w:after="120" w:line="360" w:lineRule="auto"/>
        <w:jc w:val="left"/>
        <w:rPr>
          <w:rFonts w:hint="eastAsia" w:ascii="Times New Roman" w:hAnsi="Times New Roman" w:eastAsia="宋体" w:cs="Times New Roman"/>
          <w:color w:val="auto"/>
          <w:kern w:val="0"/>
          <w:szCs w:val="21"/>
          <w:highlight w:val="none"/>
          <w:shd w:val="clear" w:color="auto" w:fill="FFFFFF"/>
        </w:rPr>
      </w:pPr>
      <w:r>
        <w:rPr>
          <w:rFonts w:hint="eastAsia" w:ascii="Times New Roman" w:hAnsi="Times New Roman" w:eastAsia="宋体" w:cs="Times New Roman"/>
          <w:color w:val="auto"/>
          <w:kern w:val="0"/>
          <w:szCs w:val="21"/>
          <w:highlight w:val="none"/>
          <w:shd w:val="clear" w:color="auto" w:fill="FFFFFF"/>
        </w:rPr>
        <w:t>　　（四）因政策调整、规划变更、征地拆迁等原因导致需要调整建设方案的。</w:t>
      </w:r>
    </w:p>
    <w:p w14:paraId="1D06057E">
      <w:pPr>
        <w:shd w:val="clear" w:color="auto" w:fill="FFFFFF"/>
        <w:spacing w:before="120" w:after="120" w:line="360" w:lineRule="auto"/>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shd w:val="clear" w:color="auto" w:fill="FFFFFF"/>
        </w:rPr>
        <w:t>（2）设计变更的应书面进行申请。</w:t>
      </w:r>
    </w:p>
    <w:p w14:paraId="7BE5312C">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（一）设计单位对原设计存在的缺陷提出的工程变更，应编制设计变更文件；</w:t>
      </w:r>
    </w:p>
    <w:p w14:paraId="614B2086">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（二）发包人要求或承包单位提出的工程变更，应提交总监理工程师，由总监理工程师组织专业监理工程师审查，审查同意后，应由招标人转交原设计单位编制设计变更文件。</w:t>
      </w:r>
    </w:p>
    <w:p w14:paraId="661044E8">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（三）设计变更书面申请应经建设、监理、施工和设计单位四家共同确认盖章。</w:t>
      </w:r>
    </w:p>
    <w:p w14:paraId="025D4470">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（四）设计变更文件应有设计人员签名，并加盖设计人员的执业章、设计单位的工程出图章或设计单位经公安部门备案的公章。</w:t>
      </w:r>
    </w:p>
    <w:p w14:paraId="1EDB9B72">
      <w:pPr>
        <w:shd w:val="clear" w:color="auto" w:fill="FFFFFF"/>
        <w:spacing w:before="120" w:after="120" w:line="360" w:lineRule="auto"/>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shd w:val="clear" w:color="auto" w:fill="FFFFFF"/>
        </w:rPr>
        <w:t>（3）设计变更和现场签证实行分类审批。</w:t>
      </w:r>
    </w:p>
    <w:p w14:paraId="7C2C3E99">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（一）非小规模工程设计变更和现场签证累计增加工程造价：</w:t>
      </w:r>
    </w:p>
    <w:p w14:paraId="234EA74B">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五类：在合同价1%（含1%）或金额40万元（含40万元）以下的，发包人应当加强管理；</w:t>
      </w:r>
    </w:p>
    <w:p w14:paraId="79C8CEB4">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四类：达到合同价1%-3%（含3%）或金额40-200万元（含200万元）的，发包人应当事先报项目行政主管部门备案。</w:t>
      </w:r>
    </w:p>
    <w:p w14:paraId="092C01F1">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三类：达到合同价3%-5%（含5%）或金额200-500万元（含500万元）的，发包人应当事先报项目行政主管部门、行政监督部门审批。</w:t>
      </w:r>
    </w:p>
    <w:p w14:paraId="0EEF866B">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二类：达到合同价5%-10%（含10%）或金额500-800万元（含800万元）的，发包人应当事先报项目行政主管部门、行政监督部门及财政部门审批。</w:t>
      </w:r>
    </w:p>
    <w:p w14:paraId="0304E663">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一类：设计变更和现场签证累计增加造价原则上不得超过合同价的10%。确因设计图纸存在缺陷或错误、无法保证施工质量和安全，需设计变更累计增加造价超过合同价10%或金额800万元以上的，发包人应当事先报项目行政主管部门、行政监督部门及财政部门审核后报同级人民政府研究批准。</w:t>
      </w:r>
    </w:p>
    <w:p w14:paraId="6C2596F5">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设计变更、现场签证增加的投资原则上在项目概算中调剂解决。符合《福建省省级政府投资项目概算调整管理规定（试行）》（闽发改投资〔2009〕1号）第四条规定情形的，导致累计增加的投资无法在项目概算中调剂解决的，招标人在申请调整概算时应当附上有关设计变更、现场签证的审批或确认文件。因设计变更和现场签证累计增加造价致编制结算价超工程概算的，招标人应报财政部门审核后报项目审批部门一次性调整概算。未通过概算调整的项目，超过原投资概算部分造价，财政部门不予确认。</w:t>
      </w:r>
    </w:p>
    <w:p w14:paraId="0F40D129">
      <w:pPr>
        <w:shd w:val="clear" w:color="auto" w:fill="FFFFFF"/>
        <w:spacing w:before="120" w:after="120" w:line="360" w:lineRule="auto"/>
        <w:ind w:firstLine="420"/>
        <w:jc w:val="left"/>
        <w:rPr>
          <w:rFonts w:hint="eastAsia" w:ascii="Times New Roman" w:hAnsi="Times New Roman" w:eastAsia="宋体" w:cs="Times New Roman"/>
          <w:color w:val="auto"/>
          <w:kern w:val="0"/>
          <w:szCs w:val="21"/>
          <w:highlight w:val="none"/>
          <w:u w:val="single"/>
          <w:shd w:val="clear" w:color="auto" w:fill="FFFFFF"/>
        </w:rPr>
      </w:pPr>
      <w:r>
        <w:rPr>
          <w:rFonts w:hint="eastAsia" w:ascii="Times New Roman" w:hAnsi="Times New Roman" w:eastAsia="宋体" w:cs="Times New Roman"/>
          <w:color w:val="auto"/>
          <w:kern w:val="0"/>
          <w:szCs w:val="21"/>
          <w:highlight w:val="none"/>
          <w:u w:val="single"/>
          <w:shd w:val="clear" w:color="auto" w:fill="FFFFFF"/>
        </w:rPr>
        <w:t>发包人不得擅自变更设计。因未能按规定提供有关审批、确认依据，导致概算无法调整的，其责任由招标人及其相关责任人承担。</w:t>
      </w:r>
    </w:p>
    <w:p w14:paraId="388874A7">
      <w:pPr>
        <w:shd w:val="clear" w:color="auto" w:fill="FFFFFF"/>
        <w:spacing w:before="120" w:after="120" w:line="360" w:lineRule="auto"/>
        <w:ind w:firstLine="420"/>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rPr>
        <w:t xml:space="preserve">（二）凡是小规模工程（指施工单项合同价小于400万元的工程），变更类别按累计增加造价在4万（含4万元）以下的，由建设单位加强管理;累计增加造价在4-40万元（含40万元）到行政主管部门进行备案，不以比例控制。变更后结算总价不得超过400万元。 </w:t>
      </w:r>
    </w:p>
    <w:p w14:paraId="6CB135D3">
      <w:pPr>
        <w:shd w:val="clear" w:color="auto" w:fill="FFFFFF"/>
        <w:spacing w:before="120" w:after="120" w:line="360" w:lineRule="auto"/>
        <w:ind w:firstLine="420"/>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rPr>
        <w:t>小规模工程变更类别累计超过40万元和合同价达400万元及以上的工程，变更类别按累计增加合同价比例和金额共同确定，从严控制。</w:t>
      </w:r>
    </w:p>
    <w:p w14:paraId="44DEC058">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（三）设计变更和现场签证造成造价变更，在报审批时允许进行增减对抵。主要材料差价调整部分和工期奖罚金额不纳入累计造价中进行审批。</w:t>
      </w:r>
    </w:p>
    <w:p w14:paraId="7F9126B7">
      <w:pPr>
        <w:shd w:val="clear" w:color="auto" w:fill="FFFFFF"/>
        <w:spacing w:before="120" w:after="120" w:line="360" w:lineRule="auto"/>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shd w:val="clear" w:color="auto" w:fill="FFFFFF"/>
        </w:rPr>
        <w:t>（4）设计变更应符合国家有关法律法规和技术标准的要求，严格执行工程强制性标准，符合项目建设质量和使用功能要求。</w:t>
      </w:r>
    </w:p>
    <w:p w14:paraId="4FD81BB6">
      <w:pPr>
        <w:shd w:val="clear" w:color="auto" w:fill="FFFFFF"/>
        <w:spacing w:before="120" w:after="120" w:line="360" w:lineRule="auto"/>
        <w:jc w:val="left"/>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shd w:val="clear" w:color="auto" w:fill="FFFFFF"/>
        </w:rPr>
        <w:t>（5）设计变更应坚持“集体研究、社会公示、分级审批、先批后变”的原则，严格控制突破限额的设计变更。</w:t>
      </w:r>
    </w:p>
    <w:p w14:paraId="14888F78">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对于部分设计变更需连续性施工的工程项目（如河道整治、堤防建设、管网埋设等线性工程；水工建筑的基础部分和应急抢险工程；路基的清淤回填、软土地基处理；桥梁的基础工程；隧道、涵道基础、土工布及埋置于地表层以下等工程），若暂停施工会严重影响工程质量安全的，由建设、勘察设计、监理、施工单位四方现场共同确认并形成会议（会勘）纪要后，可先行实施，实施过程中保留必要的能够体现施工过程的影像资料备查，同时及时完善设计变更审批手续。</w:t>
      </w:r>
    </w:p>
    <w:p w14:paraId="38BA71E7">
      <w:pPr>
        <w:shd w:val="clear" w:color="auto" w:fill="FFFFFF"/>
        <w:spacing w:before="120" w:after="120" w:line="360" w:lineRule="auto"/>
        <w:jc w:val="left"/>
        <w:rPr>
          <w:rFonts w:hint="eastAsia" w:ascii="Times New Roman" w:hAnsi="Times New Roman" w:eastAsia="宋体" w:cs="Times New Roman"/>
          <w:color w:val="auto"/>
          <w:kern w:val="0"/>
          <w:szCs w:val="21"/>
          <w:highlight w:val="none"/>
          <w:u w:val="single"/>
        </w:rPr>
      </w:pPr>
      <w:r>
        <w:rPr>
          <w:rFonts w:hint="eastAsia" w:ascii="Times New Roman" w:hAnsi="Times New Roman" w:eastAsia="宋体" w:cs="Times New Roman"/>
          <w:color w:val="auto"/>
          <w:kern w:val="0"/>
          <w:szCs w:val="21"/>
          <w:highlight w:val="none"/>
          <w:u w:val="single"/>
          <w:shd w:val="clear" w:color="auto" w:fill="FFFFFF"/>
        </w:rPr>
        <w:t>　　对部分设计变更超出发包人审批权限但需进行紧急抢险的工程项目（路基滑坡、泥石流，结构工程严重破坏，重大水毁等工程），发包人可先向行政主管部门报告后先行进行紧急处理，采取动态设计，在施工中及时对原设计进行调整和完善，同时及时完善设计变更审批手续。</w:t>
      </w:r>
    </w:p>
    <w:p w14:paraId="02E8BAD1">
      <w:pPr>
        <w:spacing w:line="360" w:lineRule="auto"/>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shd w:val="clear" w:color="auto" w:fill="FFFFFF"/>
        </w:rPr>
        <w:t>设计变更侧重于政府性项目标后内部控制投资管理，市属项目因工程进度等原因未能及时办理设计变更备案审批手续，发包人应在分部工程验收前经项目行政主管部门研究同意后补办手续，超过分部工程验收时限的应上报市政府同意或批示后方可补办。施工企业承诺放弃财政审后造价增加部分的，不必补办审批手续</w:t>
      </w:r>
      <w:r>
        <w:rPr>
          <w:rFonts w:hint="eastAsia" w:ascii="宋体" w:hAnsi="宋体" w:eastAsia="宋体" w:cs="宋体"/>
          <w:color w:val="auto"/>
          <w:szCs w:val="21"/>
          <w:highlight w:val="none"/>
          <w:u w:val="single"/>
        </w:rPr>
        <w:t>。</w:t>
      </w:r>
    </w:p>
    <w:p w14:paraId="3CD8344D">
      <w:pPr>
        <w:spacing w:line="360" w:lineRule="auto"/>
        <w:ind w:firstLine="480"/>
        <w:rPr>
          <w:rFonts w:hint="eastAsia" w:ascii="Times New Roman" w:hAnsi="Times New Roman" w:eastAsia="宋体" w:cs="Times New Roman"/>
          <w:color w:val="auto"/>
          <w:szCs w:val="21"/>
          <w:highlight w:val="none"/>
          <w:u w:val="single"/>
        </w:rPr>
      </w:pPr>
      <w:r>
        <w:rPr>
          <w:rFonts w:hint="eastAsia" w:ascii="Times New Roman" w:hAnsi="Times New Roman" w:eastAsia="宋体" w:cs="Times New Roman"/>
          <w:color w:val="auto"/>
          <w:szCs w:val="21"/>
          <w:highlight w:val="none"/>
          <w:u w:val="single"/>
        </w:rPr>
        <w:t>违反前款规定的，不予确认，由项目审批部门和行政监察部门追究相关单位和当事人的责任。</w:t>
      </w:r>
    </w:p>
    <w:p w14:paraId="4D5BCA69">
      <w:pPr>
        <w:widowControl/>
        <w:shd w:val="clear" w:color="auto" w:fill="FFFFFF"/>
        <w:snapToGrid w:val="0"/>
        <w:spacing w:line="360" w:lineRule="auto"/>
        <w:jc w:val="left"/>
        <w:rPr>
          <w:rFonts w:ascii="宋体" w:hAnsi="宋体" w:eastAsia="宋体" w:cs="宋体"/>
          <w:color w:val="auto"/>
          <w:szCs w:val="21"/>
          <w:highlight w:val="none"/>
          <w:lang w:eastAsia="zh-Hans"/>
        </w:rPr>
      </w:pPr>
      <w:r>
        <w:rPr>
          <w:rFonts w:hint="eastAsia" w:ascii="宋体" w:hAnsi="宋体" w:eastAsia="宋体" w:cs="Times New Roman"/>
          <w:color w:val="auto"/>
          <w:szCs w:val="21"/>
          <w:highlight w:val="none"/>
        </w:rPr>
        <w:t xml:space="preserve">（6） </w:t>
      </w:r>
      <w:r>
        <w:rPr>
          <w:rFonts w:hint="eastAsia" w:ascii="宋体" w:hAnsi="宋体" w:eastAsia="宋体" w:cs="宋体"/>
          <w:color w:val="auto"/>
          <w:szCs w:val="21"/>
          <w:highlight w:val="none"/>
          <w:lang w:eastAsia="zh-Hans"/>
        </w:rPr>
        <w:t>由于设计变更等原因发生的工程量增减，按下列办法计算相关费用：</w:t>
      </w:r>
    </w:p>
    <w:p w14:paraId="5374809C">
      <w:pPr>
        <w:spacing w:line="560" w:lineRule="exact"/>
        <w:ind w:firstLine="420" w:firstLineChars="200"/>
        <w:rPr>
          <w:rFonts w:ascii="宋体" w:hAnsi="宋体" w:eastAsia="宋体" w:cs="宋体"/>
          <w:color w:val="auto"/>
          <w:szCs w:val="21"/>
          <w:highlight w:val="none"/>
          <w:u w:val="single"/>
          <w:lang w:eastAsia="zh-Hans"/>
        </w:rPr>
      </w:pPr>
      <w:r>
        <w:rPr>
          <w:rFonts w:ascii="宋体" w:hAnsi="宋体" w:eastAsia="宋体" w:cs="宋体"/>
          <w:color w:val="auto"/>
          <w:szCs w:val="21"/>
          <w:highlight w:val="none"/>
          <w:u w:val="single"/>
        </w:rPr>
        <w:fldChar w:fldCharType="begin"/>
      </w:r>
      <w:r>
        <w:rPr>
          <w:rFonts w:ascii="宋体" w:hAnsi="宋体" w:eastAsia="宋体" w:cs="宋体"/>
          <w:color w:val="auto"/>
          <w:szCs w:val="21"/>
          <w:highlight w:val="none"/>
          <w:u w:val="single"/>
        </w:rPr>
        <w:instrText xml:space="preserve"> </w:instrText>
      </w:r>
      <w:r>
        <w:rPr>
          <w:rFonts w:hint="eastAsia" w:ascii="宋体" w:hAnsi="宋体" w:eastAsia="宋体" w:cs="宋体"/>
          <w:color w:val="auto"/>
          <w:szCs w:val="21"/>
          <w:highlight w:val="none"/>
          <w:u w:val="single"/>
        </w:rPr>
        <w:instrText xml:space="preserve">= 1 \* GB3</w:instrText>
      </w:r>
      <w:r>
        <w:rPr>
          <w:rFonts w:ascii="宋体" w:hAnsi="宋体" w:eastAsia="宋体" w:cs="宋体"/>
          <w:color w:val="auto"/>
          <w:szCs w:val="21"/>
          <w:highlight w:val="none"/>
          <w:u w:val="single"/>
        </w:rPr>
        <w:instrText xml:space="preserve"> </w:instrText>
      </w:r>
      <w:r>
        <w:rPr>
          <w:rFonts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①</w:t>
      </w:r>
      <w:r>
        <w:rPr>
          <w:rFonts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lang w:eastAsia="zh-Hans"/>
        </w:rPr>
        <w:t>增减工程量的单价确定</w:t>
      </w:r>
    </w:p>
    <w:p w14:paraId="518C0BAC">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rPr>
        <w:t>（a）</w:t>
      </w:r>
      <w:r>
        <w:rPr>
          <w:rFonts w:hint="eastAsia" w:ascii="宋体" w:hAnsi="宋体" w:eastAsia="宋体" w:cs="宋体"/>
          <w:color w:val="auto"/>
          <w:szCs w:val="21"/>
          <w:highlight w:val="none"/>
          <w:u w:val="single"/>
          <w:lang w:eastAsia="zh-Hans"/>
        </w:rPr>
        <w:t>在工程量清单内的项目发生工程量增加，其增加部分工程量的综合单价＝招标人工程预算价中的相应项目综合单价×（1－中标价降幅系数）</w:t>
      </w:r>
    </w:p>
    <w:p w14:paraId="69137C23">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rPr>
        <w:t>（b）</w:t>
      </w:r>
      <w:r>
        <w:rPr>
          <w:rFonts w:hint="eastAsia" w:ascii="宋体" w:hAnsi="宋体" w:eastAsia="宋体" w:cs="宋体"/>
          <w:color w:val="auto"/>
          <w:szCs w:val="21"/>
          <w:highlight w:val="none"/>
          <w:u w:val="single"/>
          <w:lang w:eastAsia="zh-Hans"/>
        </w:rPr>
        <w:t>在工程量清单内的项目发生工程量减少，其减少部分工程量的综合单价＝招标人工程预算价中的相应项目综合单价×（1－中标价降幅系数）</w:t>
      </w:r>
    </w:p>
    <w:p w14:paraId="76D0232B">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lang w:eastAsia="zh-Hans"/>
        </w:rPr>
        <w:t>（c）不在工程量清单内的项目综合单价，应按照预算编制原则及中标价降幅系数计算。</w:t>
      </w:r>
    </w:p>
    <w:p w14:paraId="6CC349D0">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lang w:eastAsia="zh-Hans"/>
        </w:rPr>
        <w:t>不在工程量清单内的项目综合单价＝按本项规定计算的综合单价×(1-中标价降幅系数)</w:t>
      </w:r>
    </w:p>
    <w:p w14:paraId="2AAE0225">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rPr>
        <w:t>（d）</w:t>
      </w:r>
      <w:r>
        <w:rPr>
          <w:rFonts w:hint="eastAsia" w:ascii="宋体" w:hAnsi="宋体" w:eastAsia="宋体" w:cs="宋体"/>
          <w:color w:val="auto"/>
          <w:szCs w:val="21"/>
          <w:highlight w:val="none"/>
          <w:u w:val="single"/>
          <w:lang w:eastAsia="zh-Hans"/>
        </w:rPr>
        <w:t>若定额缺项的，由中标人提出适当的单价，经招标人会同工程预（决）算审核单位审核确定，报市相关部门造价管理机构备案。</w:t>
      </w:r>
    </w:p>
    <w:p w14:paraId="5DC3BD61">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lang w:eastAsia="zh-Hans"/>
        </w:rPr>
        <w:t>定额缺项单价（或议价）＝经双方确认的单价×(1-中标价降幅系数)</w:t>
      </w:r>
    </w:p>
    <w:p w14:paraId="599F876A">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lang w:eastAsia="zh-Hans"/>
        </w:rPr>
        <w:t>如双方不能达成一致的，双方可提请工程所在地工程造价管理机构进行咨询或按合同约定的争议或纠纷解决程序办理。</w:t>
      </w:r>
    </w:p>
    <w:p w14:paraId="70663339">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rPr>
        <w:t>（e）</w:t>
      </w:r>
      <w:r>
        <w:rPr>
          <w:rFonts w:hint="eastAsia" w:ascii="宋体" w:hAnsi="宋体" w:eastAsia="宋体" w:cs="宋体"/>
          <w:color w:val="auto"/>
          <w:szCs w:val="21"/>
          <w:highlight w:val="none"/>
          <w:u w:val="single"/>
          <w:lang w:eastAsia="zh-Hans"/>
        </w:rPr>
        <w:t>中标价降幅系数=（工程预算价－中标价）/工程预算价×100%。</w:t>
      </w:r>
    </w:p>
    <w:p w14:paraId="397847E5">
      <w:pPr>
        <w:spacing w:line="560" w:lineRule="exact"/>
        <w:ind w:firstLine="420" w:firstLineChars="200"/>
        <w:rPr>
          <w:rFonts w:ascii="宋体" w:hAnsi="宋体" w:eastAsia="宋体" w:cs="宋体"/>
          <w:color w:val="auto"/>
          <w:szCs w:val="21"/>
          <w:highlight w:val="none"/>
          <w:u w:val="single"/>
          <w:lang w:eastAsia="zh-Hans"/>
        </w:rPr>
      </w:pPr>
      <w:r>
        <w:rPr>
          <w:rFonts w:ascii="宋体" w:hAnsi="宋体" w:eastAsia="宋体" w:cs="宋体"/>
          <w:color w:val="auto"/>
          <w:szCs w:val="21"/>
          <w:highlight w:val="none"/>
          <w:u w:val="single"/>
        </w:rPr>
        <w:fldChar w:fldCharType="begin"/>
      </w:r>
      <w:r>
        <w:rPr>
          <w:rFonts w:ascii="宋体" w:hAnsi="宋体" w:eastAsia="宋体" w:cs="宋体"/>
          <w:color w:val="auto"/>
          <w:szCs w:val="21"/>
          <w:highlight w:val="none"/>
          <w:u w:val="single"/>
        </w:rPr>
        <w:instrText xml:space="preserve"> </w:instrText>
      </w:r>
      <w:r>
        <w:rPr>
          <w:rFonts w:hint="eastAsia" w:ascii="宋体" w:hAnsi="宋体" w:eastAsia="宋体" w:cs="宋体"/>
          <w:color w:val="auto"/>
          <w:szCs w:val="21"/>
          <w:highlight w:val="none"/>
          <w:u w:val="single"/>
        </w:rPr>
        <w:instrText xml:space="preserve">= 2 \* GB3</w:instrText>
      </w:r>
      <w:r>
        <w:rPr>
          <w:rFonts w:ascii="宋体" w:hAnsi="宋体" w:eastAsia="宋体" w:cs="宋体"/>
          <w:color w:val="auto"/>
          <w:szCs w:val="21"/>
          <w:highlight w:val="none"/>
          <w:u w:val="single"/>
        </w:rPr>
        <w:instrText xml:space="preserve"> </w:instrText>
      </w:r>
      <w:r>
        <w:rPr>
          <w:rFonts w:ascii="宋体" w:hAnsi="宋体" w:eastAsia="宋体" w:cs="宋体"/>
          <w:color w:val="auto"/>
          <w:szCs w:val="21"/>
          <w:highlight w:val="none"/>
          <w:u w:val="single"/>
        </w:rPr>
        <w:fldChar w:fldCharType="separate"/>
      </w:r>
      <w:r>
        <w:rPr>
          <w:rFonts w:hint="eastAsia" w:ascii="宋体" w:hAnsi="宋体" w:eastAsia="宋体" w:cs="宋体"/>
          <w:color w:val="auto"/>
          <w:szCs w:val="21"/>
          <w:highlight w:val="none"/>
          <w:u w:val="single"/>
        </w:rPr>
        <w:t>②</w:t>
      </w:r>
      <w:r>
        <w:rPr>
          <w:rFonts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Hans"/>
        </w:rPr>
        <w:t>材料（设备）变更的价格确定</w:t>
      </w:r>
    </w:p>
    <w:p w14:paraId="7DAC4B13">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rPr>
        <w:t>（a）</w:t>
      </w:r>
      <w:r>
        <w:rPr>
          <w:rFonts w:hint="eastAsia" w:ascii="宋体" w:hAnsi="宋体" w:eastAsia="宋体" w:cs="宋体"/>
          <w:color w:val="auto"/>
          <w:szCs w:val="21"/>
          <w:highlight w:val="none"/>
          <w:u w:val="single"/>
          <w:lang w:eastAsia="zh-Hans"/>
        </w:rPr>
        <w:t>拟变更使用的材料（设备）属招标人材料（设备）价格明细表已有的，根据招标人材料（设备）价格明细表所列的材料（设备）单价与中标价降幅系数的乘积计算。</w:t>
      </w:r>
    </w:p>
    <w:p w14:paraId="726AC90C">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lang w:eastAsia="zh-Hans"/>
        </w:rPr>
        <w:t>拟变更使用的材料（设备）价格＝招标人材料（设备）价格明细表所列的材料（设备）单价×(1-中标价降幅系数)</w:t>
      </w:r>
    </w:p>
    <w:p w14:paraId="24934A25">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rPr>
        <w:t>（b）</w:t>
      </w:r>
      <w:r>
        <w:rPr>
          <w:rFonts w:hint="eastAsia" w:ascii="宋体" w:hAnsi="宋体" w:eastAsia="宋体" w:cs="宋体"/>
          <w:color w:val="auto"/>
          <w:szCs w:val="21"/>
          <w:highlight w:val="none"/>
          <w:u w:val="single"/>
          <w:lang w:eastAsia="zh-Hans"/>
        </w:rPr>
        <w:t>拟变更使用的材料（设备）属招标人材料价格明细表中没有的，其价格按照相关行政主管部门指定的信息发布媒介公布的建设工程施工期间材料（设备）单价与中标价降幅系数的乘积计算。</w:t>
      </w:r>
    </w:p>
    <w:p w14:paraId="01F465B7">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lang w:eastAsia="zh-Hans"/>
        </w:rPr>
        <w:t>拟变更使用的材料（设备）价格＝信息价×(1-中标价降幅系数)</w:t>
      </w:r>
    </w:p>
    <w:p w14:paraId="4D0268CD">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rPr>
        <w:t>（c）</w:t>
      </w:r>
      <w:r>
        <w:rPr>
          <w:rFonts w:hint="eastAsia" w:ascii="宋体" w:hAnsi="宋体" w:eastAsia="宋体" w:cs="宋体"/>
          <w:color w:val="auto"/>
          <w:szCs w:val="21"/>
          <w:highlight w:val="none"/>
          <w:u w:val="single"/>
          <w:lang w:eastAsia="zh-Hans"/>
        </w:rPr>
        <w:t>拟变更不用的材料（设备），其价格按招标人材料（设备）价格明细表所列的材料（设备）单价与中标价降幅系数的乘积计算。</w:t>
      </w:r>
    </w:p>
    <w:p w14:paraId="3F5D1073">
      <w:pPr>
        <w:spacing w:line="560" w:lineRule="exact"/>
        <w:ind w:firstLine="420" w:firstLineChars="200"/>
        <w:rPr>
          <w:rFonts w:ascii="宋体" w:hAnsi="宋体" w:eastAsia="宋体" w:cs="宋体"/>
          <w:color w:val="auto"/>
          <w:szCs w:val="21"/>
          <w:highlight w:val="none"/>
          <w:u w:val="single"/>
          <w:lang w:eastAsia="zh-Hans"/>
        </w:rPr>
      </w:pPr>
      <w:r>
        <w:rPr>
          <w:rFonts w:hint="eastAsia" w:ascii="宋体" w:hAnsi="宋体" w:eastAsia="宋体" w:cs="宋体"/>
          <w:color w:val="auto"/>
          <w:szCs w:val="21"/>
          <w:highlight w:val="none"/>
          <w:u w:val="single"/>
          <w:lang w:eastAsia="zh-Hans"/>
        </w:rPr>
        <w:t>拟变更不用的材料（设备）价格＝招标人材料（设备）价格明细表所列的材料（设备）单价×(1-中标价降幅系数)</w:t>
      </w:r>
    </w:p>
    <w:p w14:paraId="3709EB09">
      <w:pPr>
        <w:spacing w:line="400" w:lineRule="exact"/>
        <w:ind w:right="248"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u w:val="single"/>
        </w:rPr>
        <w:t>（d）</w:t>
      </w:r>
      <w:r>
        <w:rPr>
          <w:rFonts w:hint="eastAsia" w:ascii="宋体" w:hAnsi="宋体" w:eastAsia="宋体" w:cs="宋体"/>
          <w:color w:val="auto"/>
          <w:szCs w:val="21"/>
          <w:highlight w:val="none"/>
          <w:u w:val="single"/>
          <w:lang w:eastAsia="zh-Hans"/>
        </w:rPr>
        <w:t>上述发布媒介没有公布的材料（设备）单价，按招标人、中标人、监理单位三家共同询价并报同级财政部门和建设工程造价管理站备案后的价格乘以中标价降幅系数计算。</w:t>
      </w:r>
      <w:r>
        <w:rPr>
          <w:rFonts w:hint="eastAsia" w:ascii="宋体" w:hAnsi="宋体" w:eastAsia="宋体" w:cs="Times New Roman"/>
          <w:color w:val="auto"/>
          <w:szCs w:val="21"/>
          <w:highlight w:val="none"/>
          <w:u w:val="single"/>
        </w:rPr>
        <w:t xml:space="preserve">   </w:t>
      </w:r>
    </w:p>
    <w:p w14:paraId="735A661D">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402" w:name="_Toc262638018"/>
      <w:bookmarkStart w:id="403" w:name="_Toc511636018"/>
      <w:bookmarkStart w:id="404" w:name="_Toc221951218"/>
      <w:r>
        <w:rPr>
          <w:rFonts w:hint="eastAsia" w:ascii="宋体" w:hAnsi="宋体" w:eastAsia="宋体" w:cs="Times New Roman"/>
          <w:b/>
          <w:bCs/>
          <w:color w:val="auto"/>
          <w:sz w:val="28"/>
          <w:szCs w:val="28"/>
          <w:highlight w:val="none"/>
        </w:rPr>
        <w:t>15.5 承包人的合理化建议</w:t>
      </w:r>
      <w:bookmarkEnd w:id="402"/>
      <w:bookmarkEnd w:id="403"/>
    </w:p>
    <w:p w14:paraId="7BBF750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15.5.2</w:t>
      </w:r>
      <w:bookmarkEnd w:id="404"/>
      <w:bookmarkStart w:id="405" w:name="_Toc221951219"/>
      <w:r>
        <w:rPr>
          <w:rFonts w:hint="eastAsia" w:ascii="宋体" w:hAnsi="宋体" w:eastAsia="宋体" w:cs="Times New Roman"/>
          <w:color w:val="auto"/>
          <w:szCs w:val="21"/>
          <w:highlight w:val="none"/>
        </w:rPr>
        <w:t xml:space="preserve"> 承包人实现合理化建议的奖励金额为：</w:t>
      </w:r>
      <w:bookmarkEnd w:id="405"/>
      <w:r>
        <w:rPr>
          <w:rFonts w:hint="eastAsia" w:ascii="宋体" w:hAnsi="宋体" w:eastAsia="宋体" w:cs="Times New Roman"/>
          <w:color w:val="auto"/>
          <w:szCs w:val="21"/>
          <w:highlight w:val="none"/>
          <w:u w:val="single"/>
        </w:rPr>
        <w:t xml:space="preserve">      /     </w:t>
      </w:r>
      <w:r>
        <w:rPr>
          <w:rFonts w:hint="eastAsia" w:ascii="宋体" w:hAnsi="宋体" w:eastAsia="宋体" w:cs="Times New Roman"/>
          <w:color w:val="auto"/>
          <w:szCs w:val="21"/>
          <w:highlight w:val="none"/>
        </w:rPr>
        <w:t>。</w:t>
      </w:r>
    </w:p>
    <w:p w14:paraId="2756AEEF">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406" w:name="_Toc221951221"/>
      <w:bookmarkStart w:id="407" w:name="_Toc511636019"/>
      <w:bookmarkStart w:id="408" w:name="_Toc262638019"/>
      <w:r>
        <w:rPr>
          <w:rFonts w:hint="eastAsia" w:ascii="宋体" w:hAnsi="宋体" w:eastAsia="宋体" w:cs="Times New Roman"/>
          <w:b/>
          <w:bCs/>
          <w:color w:val="auto"/>
          <w:sz w:val="28"/>
          <w:szCs w:val="28"/>
          <w:highlight w:val="none"/>
        </w:rPr>
        <w:t>15.8 暂估价</w:t>
      </w:r>
      <w:bookmarkEnd w:id="406"/>
      <w:bookmarkEnd w:id="407"/>
      <w:bookmarkEnd w:id="408"/>
    </w:p>
    <w:p w14:paraId="1633A6C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15.8.1（1）发包人和承包人组织招标的暂估价项目：</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；发包人组织招标的暂估价项目：</w:t>
      </w:r>
      <w:r>
        <w:rPr>
          <w:rFonts w:ascii="宋体" w:hAnsi="宋体" w:eastAsia="宋体" w:cs="Times New Roman"/>
          <w:color w:val="auto"/>
          <w:szCs w:val="21"/>
          <w:highlight w:val="none"/>
        </w:rPr>
        <w:t>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p>
    <w:p w14:paraId="51D94C6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（2）发包人和承包人以招标方式选择暂估价项目供应商或分包人时，双方的权利义务关系：</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p>
    <w:p w14:paraId="3A189CE9">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409" w:name="_Toc256000174"/>
      <w:bookmarkStart w:id="410" w:name="_Toc511636020"/>
      <w:bookmarkStart w:id="411" w:name="_Toc229305397"/>
      <w:bookmarkStart w:id="412" w:name="_Toc35605779"/>
      <w:bookmarkStart w:id="413" w:name="_Toc256000143"/>
      <w:bookmarkStart w:id="414" w:name="_Toc23497"/>
      <w:bookmarkStart w:id="415" w:name="_Toc256000121"/>
      <w:bookmarkStart w:id="416" w:name="_Toc515441175"/>
      <w:bookmarkStart w:id="417" w:name="_Toc487489989"/>
      <w:bookmarkStart w:id="418" w:name="_Toc256000245"/>
      <w:bookmarkStart w:id="419" w:name="_Toc7185620"/>
      <w:bookmarkStart w:id="420" w:name="_Toc23269"/>
      <w:bookmarkStart w:id="421" w:name="_Toc26277"/>
      <w:bookmarkStart w:id="422" w:name="_Toc516816178"/>
      <w:r>
        <w:rPr>
          <w:rFonts w:hint="eastAsia" w:ascii="宋体" w:hAnsi="宋体" w:eastAsia="宋体" w:cs="Times New Roman"/>
          <w:b/>
          <w:bCs/>
          <w:color w:val="auto"/>
          <w:sz w:val="28"/>
          <w:szCs w:val="28"/>
          <w:highlight w:val="none"/>
        </w:rPr>
        <w:t>16 价格调整</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162169BB">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423" w:name="_Toc511636021"/>
      <w:bookmarkStart w:id="424" w:name="_Toc262638021"/>
      <w:r>
        <w:rPr>
          <w:rFonts w:hint="eastAsia" w:ascii="宋体" w:hAnsi="宋体" w:eastAsia="宋体" w:cs="Times New Roman"/>
          <w:b/>
          <w:bCs/>
          <w:color w:val="auto"/>
          <w:sz w:val="28"/>
          <w:szCs w:val="28"/>
          <w:highlight w:val="none"/>
        </w:rPr>
        <w:t>16.1 物价波动引起的价格调整</w:t>
      </w:r>
      <w:bookmarkEnd w:id="423"/>
      <w:bookmarkEnd w:id="424"/>
    </w:p>
    <w:p w14:paraId="70CD24D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物价波动引起的价格调整方式：</w:t>
      </w:r>
      <w:r>
        <w:rPr>
          <w:rFonts w:hint="eastAsia" w:ascii="宋体" w:hAnsi="宋体" w:eastAsia="宋体" w:cs="Times New Roman"/>
          <w:color w:val="auto"/>
          <w:szCs w:val="21"/>
          <w:highlight w:val="none"/>
          <w:u w:val="single"/>
        </w:rPr>
        <w:t>钢筋、水泥(非商品砼用）、商品砼主要材料价格大幅度波动，施工期当月相关部门造价管理机构发布的信息价与编制预算价时采用的材料信息价相比，上涨或下跌幅度在10%以内（含10%）的，其价差由承包人承担或受益。上涨或下跌幅度在10%以外的，超过10%部分的价差由发包人承担或受益。发生的价差只计取价差和税金，不计取其他费用。</w:t>
      </w:r>
    </w:p>
    <w:p w14:paraId="256D319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16.1.2 采用造价信息调整价格差额</w:t>
      </w:r>
    </w:p>
    <w:p w14:paraId="1D8032B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工程造价信息的来源：</w:t>
      </w:r>
      <w:r>
        <w:rPr>
          <w:rFonts w:hint="eastAsia" w:ascii="宋体" w:hAnsi="宋体" w:eastAsia="宋体" w:cs="Times New Roman"/>
          <w:color w:val="auto"/>
          <w:szCs w:val="22"/>
          <w:highlight w:val="none"/>
          <w:u w:val="single"/>
        </w:rPr>
        <w:t xml:space="preserve">   </w:t>
      </w:r>
      <w:r>
        <w:rPr>
          <w:rFonts w:hint="eastAsia" w:ascii="Times New Roman" w:hAnsi="Times New Roman" w:eastAsia="宋体" w:cs="Times New Roman"/>
          <w:color w:val="auto"/>
          <w:szCs w:val="21"/>
          <w:highlight w:val="none"/>
          <w:u w:val="single"/>
        </w:rPr>
        <w:t>按招标文件、工程预算书（审）规定执行</w:t>
      </w:r>
      <w:r>
        <w:rPr>
          <w:rFonts w:hint="eastAsia" w:ascii="宋体" w:hAnsi="宋体" w:eastAsia="宋体" w:cs="Times New Roman"/>
          <w:color w:val="auto"/>
          <w:szCs w:val="22"/>
          <w:highlight w:val="none"/>
          <w:u w:val="single"/>
        </w:rPr>
        <w:t xml:space="preserve">  </w:t>
      </w:r>
      <w:r>
        <w:rPr>
          <w:rFonts w:hint="eastAsia" w:ascii="宋体" w:hAnsi="宋体" w:eastAsia="宋体" w:cs="Times New Roman"/>
          <w:color w:val="auto"/>
          <w:szCs w:val="21"/>
          <w:highlight w:val="none"/>
        </w:rPr>
        <w:t>。</w:t>
      </w:r>
    </w:p>
    <w:p w14:paraId="171E2A8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价格调整的项目和系数：</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___</w:t>
      </w:r>
      <w:r>
        <w:rPr>
          <w:rFonts w:hint="eastAsia" w:ascii="宋体" w:hAnsi="宋体" w:eastAsia="宋体" w:cs="Times New Roman"/>
          <w:color w:val="auto"/>
          <w:szCs w:val="21"/>
          <w:highlight w:val="none"/>
        </w:rPr>
        <w:t>。</w:t>
      </w:r>
    </w:p>
    <w:p w14:paraId="14C991B8">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425" w:name="_Toc222033891"/>
      <w:bookmarkStart w:id="426" w:name="_Toc256000246"/>
      <w:bookmarkStart w:id="427" w:name="_Toc516816179"/>
      <w:bookmarkStart w:id="428" w:name="_Toc222031042"/>
      <w:bookmarkStart w:id="429" w:name="_Toc256000144"/>
      <w:bookmarkStart w:id="430" w:name="_Toc7185621"/>
      <w:bookmarkStart w:id="431" w:name="_Toc256000175"/>
      <w:bookmarkStart w:id="432" w:name="_Toc515441176"/>
      <w:bookmarkStart w:id="433" w:name="_Toc222029540"/>
      <w:bookmarkStart w:id="434" w:name="_Toc20556"/>
      <w:bookmarkStart w:id="435" w:name="_Toc3130"/>
      <w:bookmarkStart w:id="436" w:name="_Toc229305398"/>
      <w:bookmarkStart w:id="437" w:name="_Toc35605780"/>
      <w:bookmarkStart w:id="438" w:name="_Toc222032709"/>
      <w:bookmarkStart w:id="439" w:name="_Toc511636022"/>
      <w:bookmarkStart w:id="440" w:name="_Toc487489990"/>
      <w:bookmarkStart w:id="441" w:name="_Toc10709"/>
      <w:bookmarkStart w:id="442" w:name="_Toc256000122"/>
      <w:bookmarkStart w:id="443" w:name="_Toc221951223"/>
      <w:r>
        <w:rPr>
          <w:rFonts w:hint="eastAsia" w:ascii="宋体" w:hAnsi="宋体" w:eastAsia="宋体" w:cs="Times New Roman"/>
          <w:b/>
          <w:bCs/>
          <w:color w:val="auto"/>
          <w:sz w:val="28"/>
          <w:szCs w:val="28"/>
          <w:highlight w:val="none"/>
        </w:rPr>
        <w:t>17 计量与支付</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27102441">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444" w:name="_Toc221951224"/>
      <w:bookmarkStart w:id="445" w:name="_Toc262638023"/>
      <w:bookmarkStart w:id="446" w:name="_Toc511636023"/>
      <w:r>
        <w:rPr>
          <w:rFonts w:hint="eastAsia" w:ascii="宋体" w:hAnsi="宋体" w:eastAsia="宋体" w:cs="Times New Roman"/>
          <w:b/>
          <w:bCs/>
          <w:color w:val="auto"/>
          <w:sz w:val="28"/>
          <w:szCs w:val="28"/>
          <w:highlight w:val="none"/>
        </w:rPr>
        <w:t>17.2 预付款</w:t>
      </w:r>
      <w:bookmarkEnd w:id="444"/>
      <w:bookmarkEnd w:id="445"/>
      <w:bookmarkEnd w:id="446"/>
    </w:p>
    <w:p w14:paraId="0D0FCD07">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47" w:name="_Toc221951226"/>
      <w:r>
        <w:rPr>
          <w:rFonts w:hint="eastAsia" w:ascii="宋体" w:hAnsi="宋体" w:eastAsia="宋体" w:cs="Times New Roman"/>
          <w:color w:val="auto"/>
          <w:szCs w:val="21"/>
          <w:highlight w:val="none"/>
        </w:rPr>
        <w:t xml:space="preserve">17.2.1 </w:t>
      </w:r>
      <w:r>
        <w:rPr>
          <w:rFonts w:ascii="宋体" w:hAnsi="宋体" w:eastAsia="宋体" w:cs="Times New Roman"/>
          <w:color w:val="auto"/>
          <w:szCs w:val="21"/>
          <w:highlight w:val="none"/>
        </w:rPr>
        <w:t>预付款</w:t>
      </w:r>
      <w:bookmarkEnd w:id="447"/>
      <w:r>
        <w:rPr>
          <w:rFonts w:hint="eastAsia" w:ascii="宋体" w:hAnsi="宋体" w:eastAsia="宋体" w:cs="Times New Roman"/>
          <w:color w:val="auto"/>
          <w:szCs w:val="21"/>
          <w:highlight w:val="none"/>
        </w:rPr>
        <w:t xml:space="preserve"> </w:t>
      </w:r>
    </w:p>
    <w:p w14:paraId="3A2697DF">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（1）工程预付款的总金额为签约合同价的</w:t>
      </w:r>
      <w:r>
        <w:rPr>
          <w:rFonts w:hint="eastAsia" w:ascii="宋体" w:hAnsi="宋体" w:eastAsia="宋体" w:cs="Times New Roman"/>
          <w:color w:val="auto"/>
          <w:szCs w:val="21"/>
          <w:highlight w:val="none"/>
          <w:u w:val="single"/>
        </w:rPr>
        <w:t>　10　</w:t>
      </w:r>
      <w:r>
        <w:rPr>
          <w:rFonts w:hint="eastAsia" w:ascii="宋体" w:hAnsi="宋体" w:eastAsia="宋体" w:cs="Times New Roman"/>
          <w:color w:val="auto"/>
          <w:szCs w:val="21"/>
          <w:highlight w:val="none"/>
        </w:rPr>
        <w:t>%，分</w:t>
      </w:r>
      <w:r>
        <w:rPr>
          <w:rFonts w:hint="eastAsia" w:ascii="宋体" w:hAnsi="宋体" w:eastAsia="宋体" w:cs="Times New Roman"/>
          <w:color w:val="auto"/>
          <w:szCs w:val="21"/>
          <w:highlight w:val="none"/>
          <w:u w:val="single"/>
        </w:rPr>
        <w:t>　1　</w:t>
      </w:r>
      <w:r>
        <w:rPr>
          <w:rFonts w:hint="eastAsia" w:ascii="宋体" w:hAnsi="宋体" w:eastAsia="宋体" w:cs="Times New Roman"/>
          <w:color w:val="auto"/>
          <w:szCs w:val="21"/>
          <w:highlight w:val="none"/>
        </w:rPr>
        <w:t>次支付给承包人。</w:t>
      </w:r>
    </w:p>
    <w:p w14:paraId="03DFD9B5">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各次预付款的支付额度和付款时间为：</w:t>
      </w:r>
    </w:p>
    <w:p w14:paraId="7A4C5C9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1）第一次预付款金额为工程预付款总金额的</w:t>
      </w:r>
      <w:r>
        <w:rPr>
          <w:rFonts w:hint="eastAsia" w:ascii="宋体" w:hAnsi="宋体" w:eastAsia="宋体" w:cs="Times New Roman"/>
          <w:color w:val="auto"/>
          <w:szCs w:val="21"/>
          <w:highlight w:val="none"/>
          <w:u w:val="single"/>
        </w:rPr>
        <w:t>　100　</w:t>
      </w:r>
      <w:r>
        <w:rPr>
          <w:rFonts w:hint="eastAsia" w:ascii="宋体" w:hAnsi="宋体" w:eastAsia="宋体" w:cs="Times New Roman"/>
          <w:color w:val="auto"/>
          <w:szCs w:val="21"/>
          <w:highlight w:val="none"/>
        </w:rPr>
        <w:t>%，付款时间应在合同协议书签订后，由承包人向发包人提交了发包人认可的工程预付款担保，并经监理人出具付款证书报送发包人批准后14天内予以支付。</w:t>
      </w:r>
    </w:p>
    <w:p w14:paraId="46F266C8">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2）第二次预付款金额为工程预付款总金额的</w:t>
      </w:r>
      <w:r>
        <w:rPr>
          <w:rFonts w:ascii="宋体" w:hAnsi="宋体" w:eastAsia="宋体" w:cs="Times New Roman"/>
          <w:color w:val="auto"/>
          <w:szCs w:val="21"/>
          <w:highlight w:val="none"/>
        </w:rPr>
        <w:t>_</w:t>
      </w:r>
      <w:r>
        <w:rPr>
          <w:rFonts w:hint="eastAsia" w:ascii="宋体" w:hAnsi="宋体" w:eastAsia="宋体" w:cs="Times New Roman"/>
          <w:color w:val="auto"/>
          <w:szCs w:val="21"/>
          <w:highlight w:val="none"/>
        </w:rPr>
        <w:t>0</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%。付款时间需待承包人主要设备进入工地后，其估算价值已达到本次预付款金额时，由承包人提出书面申请，经监理人核实后出具付款证书报送发包人批准后14天内予以支付。</w:t>
      </w:r>
    </w:p>
    <w:p w14:paraId="4FC3AAB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3）第三次预付款……。</w:t>
      </w:r>
    </w:p>
    <w:p w14:paraId="333FABF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p w14:paraId="4FAE5224">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（2）工程材料预付款的额度和预付办法约定为：</w:t>
      </w:r>
      <w:r>
        <w:rPr>
          <w:rFonts w:hint="eastAsia" w:ascii="宋体" w:hAnsi="宋体" w:eastAsia="宋体" w:cs="Times New Roman"/>
          <w:color w:val="auto"/>
          <w:szCs w:val="21"/>
          <w:highlight w:val="none"/>
          <w:u w:val="single"/>
        </w:rPr>
        <w:t>现金或银行保函或担保保函或保险保函</w:t>
      </w:r>
      <w:r>
        <w:rPr>
          <w:rFonts w:hint="eastAsia" w:ascii="宋体" w:hAnsi="宋体" w:eastAsia="宋体" w:cs="Times New Roman"/>
          <w:color w:val="auto"/>
          <w:szCs w:val="21"/>
          <w:highlight w:val="none"/>
        </w:rPr>
        <w:t>。</w:t>
      </w:r>
    </w:p>
    <w:p w14:paraId="7BB7D8A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48" w:name="_Toc221951235"/>
      <w:r>
        <w:rPr>
          <w:rFonts w:hint="eastAsia" w:ascii="宋体" w:hAnsi="宋体" w:eastAsia="宋体" w:cs="Times New Roman"/>
          <w:color w:val="auto"/>
          <w:szCs w:val="21"/>
          <w:highlight w:val="none"/>
        </w:rPr>
        <w:t>17.2.2 预付款保函</w:t>
      </w:r>
      <w:bookmarkEnd w:id="448"/>
      <w:r>
        <w:rPr>
          <w:rFonts w:hint="eastAsia" w:ascii="宋体" w:hAnsi="宋体" w:eastAsia="宋体" w:cs="Times New Roman"/>
          <w:color w:val="auto"/>
          <w:szCs w:val="21"/>
          <w:highlight w:val="none"/>
        </w:rPr>
        <w:t>（担保）</w:t>
      </w:r>
    </w:p>
    <w:p w14:paraId="4461D416">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49" w:name="_Toc221951236"/>
      <w:r>
        <w:rPr>
          <w:rFonts w:hint="eastAsia" w:ascii="宋体" w:hAnsi="宋体" w:eastAsia="宋体" w:cs="Times New Roman"/>
          <w:color w:val="auto"/>
          <w:szCs w:val="21"/>
          <w:highlight w:val="none"/>
        </w:rPr>
        <w:t>（2）工程材料预付款的担保约定为：</w:t>
      </w:r>
      <w:bookmarkEnd w:id="449"/>
      <w:bookmarkStart w:id="450" w:name="_Toc221951237"/>
      <w:r>
        <w:rPr>
          <w:rFonts w:hint="eastAsia" w:ascii="宋体" w:hAnsi="宋体" w:eastAsia="宋体" w:cs="Times New Roman"/>
          <w:color w:val="auto"/>
          <w:szCs w:val="21"/>
          <w:highlight w:val="none"/>
          <w:u w:val="single"/>
          <w:lang w:val="zh-CN"/>
        </w:rPr>
        <w:t>工程预付款担保在第一次工程预付款被发包人扣回前一直有效。</w:t>
      </w:r>
    </w:p>
    <w:p w14:paraId="734BDAE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17.2.3 预付款的扣回与还清</w:t>
      </w:r>
      <w:bookmarkEnd w:id="450"/>
    </w:p>
    <w:p w14:paraId="32ED0F0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51" w:name="_Toc221951238"/>
      <w:r>
        <w:rPr>
          <w:rFonts w:hint="eastAsia" w:ascii="宋体" w:hAnsi="宋体" w:eastAsia="宋体" w:cs="Times New Roman"/>
          <w:color w:val="auto"/>
          <w:szCs w:val="21"/>
          <w:highlight w:val="none"/>
        </w:rPr>
        <w:t>（1）工程预付款在合同累计完成金额达到签约合同价的</w:t>
      </w:r>
      <w:r>
        <w:rPr>
          <w:rFonts w:hint="eastAsia" w:ascii="宋体" w:hAnsi="宋体" w:eastAsia="宋体" w:cs="Times New Roman"/>
          <w:color w:val="auto"/>
          <w:szCs w:val="21"/>
          <w:highlight w:val="none"/>
          <w:u w:val="single"/>
        </w:rPr>
        <w:t xml:space="preserve"> 50 </w:t>
      </w:r>
      <w:r>
        <w:rPr>
          <w:rFonts w:hint="eastAsia" w:ascii="宋体" w:hAnsi="宋体" w:eastAsia="宋体" w:cs="Times New Roman"/>
          <w:color w:val="auto"/>
          <w:szCs w:val="21"/>
          <w:highlight w:val="none"/>
        </w:rPr>
        <w:t>%时开始扣款，直至合同累计完成金额达到签约合同价的</w:t>
      </w:r>
      <w:r>
        <w:rPr>
          <w:rFonts w:hint="eastAsia" w:ascii="宋体" w:hAnsi="宋体" w:eastAsia="宋体" w:cs="Times New Roman"/>
          <w:color w:val="auto"/>
          <w:szCs w:val="21"/>
          <w:highlight w:val="none"/>
          <w:u w:val="single"/>
        </w:rPr>
        <w:t xml:space="preserve"> 80 </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时全部扣清。</w:t>
      </w:r>
      <w:bookmarkEnd w:id="451"/>
    </w:p>
    <w:p w14:paraId="754D9C12">
      <w:pPr>
        <w:spacing w:line="360" w:lineRule="auto"/>
        <w:ind w:right="248" w:firstLine="945" w:firstLineChars="450"/>
        <w:rPr>
          <w:rFonts w:ascii="宋体" w:hAnsi="宋体" w:eastAsia="宋体" w:cs="Times New Roman"/>
          <w:color w:val="auto"/>
          <w:szCs w:val="21"/>
          <w:highlight w:val="none"/>
        </w:rPr>
      </w:pPr>
      <w:bookmarkStart w:id="452" w:name="_Toc221951239"/>
      <w:bookmarkEnd w:id="452"/>
      <w:r>
        <w:rPr>
          <w:rFonts w:ascii="宋体" w:hAnsi="宋体" w:eastAsia="宋体" w:cs="Times New Roman"/>
          <w:color w:val="auto"/>
          <w:position w:val="-30"/>
          <w:szCs w:val="21"/>
          <w:highlight w:val="none"/>
        </w:rPr>
        <w:drawing>
          <wp:inline distT="0" distB="0" distL="114300" distR="114300">
            <wp:extent cx="1576070" cy="427990"/>
            <wp:effectExtent l="0" t="0" r="508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76070" cy="427990"/>
                    </a:xfrm>
                    <a:prstGeom prst="rect">
                      <a:avLst/>
                    </a:prstGeom>
                    <a:noFill/>
                    <a:ln>
                      <a:noFill/>
                    </a:ln>
                  </pic:spPr>
                </pic:pic>
              </a:graphicData>
            </a:graphic>
          </wp:inline>
        </w:drawing>
      </w:r>
    </w:p>
    <w:p w14:paraId="20C78F3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53" w:name="_Toc221951240"/>
      <w:r>
        <w:rPr>
          <w:rFonts w:hint="eastAsia" w:ascii="宋体" w:hAnsi="宋体" w:eastAsia="宋体" w:cs="Times New Roman"/>
          <w:color w:val="auto"/>
          <w:szCs w:val="21"/>
          <w:highlight w:val="none"/>
        </w:rPr>
        <w:t>式中：R——每次进度付款中累计扣回的金额；</w:t>
      </w:r>
      <w:bookmarkEnd w:id="453"/>
    </w:p>
    <w:p w14:paraId="3E03E71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bookmarkStart w:id="454" w:name="_Toc221951241"/>
      <w:r>
        <w:rPr>
          <w:rFonts w:hint="eastAsia" w:ascii="宋体" w:hAnsi="宋体" w:eastAsia="宋体" w:cs="Times New Roman"/>
          <w:color w:val="auto"/>
          <w:szCs w:val="21"/>
          <w:highlight w:val="none"/>
        </w:rPr>
        <w:t>A——工程预付款总金额；</w:t>
      </w:r>
      <w:bookmarkEnd w:id="454"/>
    </w:p>
    <w:p w14:paraId="3298E6F2">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bookmarkStart w:id="455" w:name="_Toc221951242"/>
      <w:r>
        <w:rPr>
          <w:rFonts w:hint="eastAsia" w:ascii="宋体" w:hAnsi="宋体" w:eastAsia="宋体" w:cs="Times New Roman"/>
          <w:color w:val="auto"/>
          <w:szCs w:val="21"/>
          <w:highlight w:val="none"/>
        </w:rPr>
        <w:t>S——签约合同价；</w:t>
      </w:r>
      <w:bookmarkEnd w:id="455"/>
    </w:p>
    <w:p w14:paraId="6A9C8451">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bookmarkStart w:id="456" w:name="_Toc221951243"/>
      <w:r>
        <w:rPr>
          <w:rFonts w:hint="eastAsia" w:ascii="宋体" w:hAnsi="宋体" w:eastAsia="宋体" w:cs="Times New Roman"/>
          <w:color w:val="auto"/>
          <w:szCs w:val="21"/>
          <w:highlight w:val="none"/>
        </w:rPr>
        <w:t>C——合同累计完成金额；</w:t>
      </w:r>
      <w:bookmarkEnd w:id="456"/>
    </w:p>
    <w:p w14:paraId="25B3640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bookmarkStart w:id="457" w:name="_Toc221951244"/>
      <w:r>
        <w:rPr>
          <w:rFonts w:hint="eastAsia" w:ascii="宋体" w:hAnsi="宋体" w:eastAsia="宋体" w:cs="Times New Roman"/>
          <w:color w:val="auto"/>
          <w:szCs w:val="21"/>
          <w:highlight w:val="none"/>
        </w:rPr>
        <w:t>F1——开始扣款时合同累计完成金额达到签约合同价的比例；</w:t>
      </w:r>
      <w:bookmarkEnd w:id="457"/>
    </w:p>
    <w:p w14:paraId="04431F5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bookmarkStart w:id="458" w:name="_Toc221951245"/>
      <w:r>
        <w:rPr>
          <w:rFonts w:hint="eastAsia" w:ascii="宋体" w:hAnsi="宋体" w:eastAsia="宋体" w:cs="Times New Roman"/>
          <w:color w:val="auto"/>
          <w:szCs w:val="21"/>
          <w:highlight w:val="none"/>
        </w:rPr>
        <w:t>F2——全部扣清时合同累计完成金额达到签约合同价的比例。</w:t>
      </w:r>
      <w:bookmarkEnd w:id="458"/>
    </w:p>
    <w:p w14:paraId="02268CEC">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上述合同累计完成金额均指价格调整前未扣质量保证金的金额。</w:t>
      </w:r>
    </w:p>
    <w:p w14:paraId="44B40A42">
      <w:pPr>
        <w:widowControl/>
        <w:numPr>
          <w:ilvl w:val="0"/>
          <w:numId w:val="4"/>
        </w:numPr>
        <w:shd w:val="clear" w:color="auto" w:fill="FFFFFF"/>
        <w:snapToGrid w:val="0"/>
        <w:ind w:firstLine="42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工程材料预付款的扣回与还清约定为： 承包人</w:t>
      </w:r>
      <w:r>
        <w:rPr>
          <w:rFonts w:hint="eastAsia" w:ascii="宋体" w:hAnsi="宋体" w:eastAsia="宋体" w:cs="Times New Roman"/>
          <w:color w:val="auto"/>
          <w:szCs w:val="21"/>
          <w:highlight w:val="none"/>
          <w:u w:val="single"/>
          <w:lang w:val="zh-CN"/>
        </w:rPr>
        <w:t>采用</w:t>
      </w:r>
      <w:r>
        <w:rPr>
          <w:rFonts w:hint="eastAsia" w:ascii="宋体" w:hAnsi="宋体" w:eastAsia="宋体" w:cs="Times New Roman"/>
          <w:color w:val="auto"/>
          <w:szCs w:val="21"/>
          <w:highlight w:val="none"/>
          <w:u w:val="single"/>
        </w:rPr>
        <w:t>非现金（转账）</w:t>
      </w:r>
      <w:r>
        <w:rPr>
          <w:rFonts w:hint="eastAsia" w:ascii="宋体" w:hAnsi="宋体" w:eastAsia="宋体" w:cs="Times New Roman"/>
          <w:color w:val="auto"/>
          <w:szCs w:val="21"/>
          <w:highlight w:val="none"/>
          <w:u w:val="single"/>
          <w:lang w:val="zh-CN"/>
        </w:rPr>
        <w:t>形式提交履约保证金的，建设单位则不支付</w:t>
      </w:r>
      <w:r>
        <w:rPr>
          <w:rFonts w:hint="eastAsia" w:ascii="宋体" w:hAnsi="宋体" w:eastAsia="宋体" w:cs="Times New Roman"/>
          <w:color w:val="auto"/>
          <w:szCs w:val="21"/>
          <w:highlight w:val="none"/>
          <w:u w:val="single"/>
        </w:rPr>
        <w:t>10</w:t>
      </w:r>
      <w:r>
        <w:rPr>
          <w:rFonts w:hint="eastAsia" w:ascii="宋体" w:hAnsi="宋体" w:eastAsia="宋体" w:cs="Times New Roman"/>
          <w:color w:val="auto"/>
          <w:szCs w:val="21"/>
          <w:highlight w:val="none"/>
          <w:u w:val="single"/>
          <w:lang w:val="zh-CN"/>
        </w:rPr>
        <w:t>％的工程预付款。办理银行保函或担保保函或保险保函所需的一切费用由</w:t>
      </w:r>
      <w:r>
        <w:rPr>
          <w:rFonts w:hint="eastAsia" w:ascii="宋体" w:hAnsi="宋体" w:eastAsia="宋体" w:cs="Times New Roman"/>
          <w:color w:val="auto"/>
          <w:szCs w:val="21"/>
          <w:highlight w:val="none"/>
          <w:u w:val="single"/>
        </w:rPr>
        <w:t>承包人</w:t>
      </w:r>
      <w:r>
        <w:rPr>
          <w:rFonts w:hint="eastAsia" w:ascii="宋体" w:hAnsi="宋体" w:eastAsia="宋体" w:cs="Times New Roman"/>
          <w:color w:val="auto"/>
          <w:szCs w:val="21"/>
          <w:highlight w:val="none"/>
          <w:u w:val="single"/>
          <w:lang w:val="zh-CN"/>
        </w:rPr>
        <w:t>自理 ；</w:t>
      </w:r>
      <w:r>
        <w:rPr>
          <w:rFonts w:hint="eastAsia" w:ascii="宋体" w:hAnsi="宋体" w:eastAsia="宋体" w:cs="Times New Roman"/>
          <w:color w:val="auto"/>
          <w:szCs w:val="21"/>
          <w:highlight w:val="none"/>
          <w:u w:val="single"/>
        </w:rPr>
        <w:t>当工程款支付到合同价的50%（含工程预付款）时，工程预付款在以后月份应付工程款中按比例逐步扣回，并在已付工程款达到合同价款的80%前全部扣回</w:t>
      </w:r>
      <w:r>
        <w:rPr>
          <w:rFonts w:hint="eastAsia" w:ascii="宋体" w:hAnsi="宋体" w:eastAsia="宋体" w:cs="宋体"/>
          <w:color w:val="auto"/>
          <w:szCs w:val="21"/>
          <w:highlight w:val="none"/>
          <w:shd w:val="clear" w:color="auto" w:fill="FFFFFF"/>
        </w:rPr>
        <w:t>。</w:t>
      </w:r>
    </w:p>
    <w:p w14:paraId="5EACE13A">
      <w:pPr>
        <w:spacing w:line="360" w:lineRule="auto"/>
        <w:ind w:right="248" w:firstLine="118" w:firstLineChars="49"/>
        <w:rPr>
          <w:rFonts w:ascii="宋体" w:hAnsi="Times New Roman" w:eastAsia="宋体" w:cs="Times New Roman"/>
          <w:b/>
          <w:color w:val="auto"/>
          <w:sz w:val="24"/>
          <w:szCs w:val="22"/>
          <w:highlight w:val="none"/>
        </w:rPr>
      </w:pPr>
      <w:r>
        <w:rPr>
          <w:rFonts w:ascii="宋体" w:hAnsi="宋体" w:eastAsia="宋体" w:cs="Times New Roman"/>
          <w:b/>
          <w:color w:val="auto"/>
          <w:sz w:val="24"/>
          <w:szCs w:val="22"/>
          <w:highlight w:val="none"/>
        </w:rPr>
        <w:t>17</w:t>
      </w:r>
      <w:r>
        <w:rPr>
          <w:rFonts w:hint="eastAsia" w:ascii="宋体" w:hAnsi="宋体" w:eastAsia="宋体" w:cs="Times New Roman"/>
          <w:b/>
          <w:color w:val="auto"/>
          <w:sz w:val="24"/>
          <w:szCs w:val="22"/>
          <w:highlight w:val="none"/>
        </w:rPr>
        <w:t>.3工程进度款</w:t>
      </w:r>
    </w:p>
    <w:p w14:paraId="562F451F">
      <w:pPr>
        <w:spacing w:line="560" w:lineRule="exact"/>
        <w:ind w:right="10" w:rightChars="5" w:firstLine="422" w:firstLineChars="200"/>
        <w:rPr>
          <w:rFonts w:hint="eastAsia" w:ascii="宋体" w:hAnsi="宋体" w:eastAsia="宋体" w:cs="宋体"/>
          <w:b/>
          <w:color w:val="auto"/>
          <w:szCs w:val="21"/>
          <w:highlight w:val="none"/>
        </w:rPr>
      </w:pPr>
      <w:r>
        <w:rPr>
          <w:rFonts w:ascii="宋体" w:hAnsi="宋体" w:eastAsia="宋体" w:cs="宋体"/>
          <w:b/>
          <w:color w:val="auto"/>
          <w:szCs w:val="21"/>
          <w:highlight w:val="none"/>
        </w:rPr>
        <w:t>17</w:t>
      </w:r>
      <w:r>
        <w:rPr>
          <w:rFonts w:hint="eastAsia" w:ascii="宋体" w:hAnsi="宋体" w:eastAsia="宋体" w:cs="宋体"/>
          <w:b/>
          <w:color w:val="auto"/>
          <w:szCs w:val="21"/>
          <w:highlight w:val="none"/>
        </w:rPr>
        <w:t xml:space="preserve">.3.1 </w:t>
      </w:r>
    </w:p>
    <w:p w14:paraId="65474F75">
      <w:pPr>
        <w:spacing w:line="560" w:lineRule="exact"/>
        <w:ind w:right="10" w:rightChars="5"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施工单位应在每月的月底向监理单位报送当月实际完成的合同工程量报告，监理单位必须在收到报告后</w:t>
      </w:r>
      <w:r>
        <w:rPr>
          <w:rFonts w:ascii="宋体" w:hAnsi="宋体" w:eastAsia="宋体" w:cs="宋体"/>
          <w:b/>
          <w:color w:val="auto"/>
          <w:szCs w:val="21"/>
          <w:highlight w:val="none"/>
        </w:rPr>
        <w:t>7</w:t>
      </w:r>
      <w:r>
        <w:rPr>
          <w:rFonts w:hint="eastAsia" w:ascii="宋体" w:hAnsi="宋体" w:eastAsia="宋体" w:cs="宋体"/>
          <w:b/>
          <w:color w:val="auto"/>
          <w:szCs w:val="21"/>
          <w:highlight w:val="none"/>
        </w:rPr>
        <w:t>个工作日内审核确认，建设单位应当在接到监理单位审核确认意见</w:t>
      </w:r>
      <w:r>
        <w:rPr>
          <w:rFonts w:ascii="宋体" w:hAnsi="宋体" w:eastAsia="宋体" w:cs="宋体"/>
          <w:b/>
          <w:color w:val="auto"/>
          <w:szCs w:val="21"/>
          <w:highlight w:val="none"/>
        </w:rPr>
        <w:t>10</w:t>
      </w:r>
      <w:r>
        <w:rPr>
          <w:rFonts w:hint="eastAsia" w:ascii="宋体" w:hAnsi="宋体" w:eastAsia="宋体" w:cs="宋体"/>
          <w:b/>
          <w:color w:val="auto"/>
          <w:szCs w:val="21"/>
          <w:highlight w:val="none"/>
        </w:rPr>
        <w:t>个工作日内完成审核确认，并按莆田市政府相关文件办理支付进度款手续。其中</w:t>
      </w:r>
      <w:r>
        <w:rPr>
          <w:rFonts w:ascii="宋体" w:hAnsi="宋体" w:eastAsia="宋体" w:cs="宋体"/>
          <w:b/>
          <w:color w:val="auto"/>
          <w:szCs w:val="21"/>
          <w:highlight w:val="none"/>
        </w:rPr>
        <w:t>:</w:t>
      </w:r>
    </w:p>
    <w:p w14:paraId="4857A41D">
      <w:pPr>
        <w:spacing w:line="560" w:lineRule="exact"/>
        <w:ind w:right="10" w:rightChars="5"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（1）施工图范围内的工程量进度款按核定完成工程量的</w:t>
      </w:r>
      <w:r>
        <w:rPr>
          <w:rFonts w:ascii="宋体" w:hAnsi="宋体" w:eastAsia="宋体" w:cs="Times New Roman"/>
          <w:b/>
          <w:color w:val="auto"/>
          <w:szCs w:val="21"/>
          <w:highlight w:val="none"/>
        </w:rPr>
        <w:t>8</w:t>
      </w:r>
      <w:r>
        <w:rPr>
          <w:rFonts w:hint="eastAsia" w:ascii="宋体" w:hAnsi="宋体" w:eastAsia="宋体" w:cs="Times New Roman"/>
          <w:b/>
          <w:color w:val="auto"/>
          <w:szCs w:val="21"/>
          <w:highlight w:val="none"/>
        </w:rPr>
        <w:t>0</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拨付。具体按以下公式计算：</w:t>
      </w:r>
    </w:p>
    <w:p w14:paraId="4681CC06">
      <w:pPr>
        <w:spacing w:line="560" w:lineRule="exact"/>
        <w:ind w:right="10" w:rightChars="5"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工程进度款</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已核定的实际完成工程量</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发包人预算中的相应综合单价</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w:t>
      </w:r>
      <w:r>
        <w:rPr>
          <w:rFonts w:ascii="宋体" w:hAnsi="宋体" w:eastAsia="宋体" w:cs="Times New Roman"/>
          <w:b/>
          <w:color w:val="auto"/>
          <w:szCs w:val="21"/>
          <w:highlight w:val="none"/>
        </w:rPr>
        <w:t>1</w:t>
      </w:r>
      <w:r>
        <w:rPr>
          <w:rFonts w:hint="eastAsia" w:ascii="宋体" w:hAnsi="宋体" w:eastAsia="宋体" w:cs="宋体"/>
          <w:b/>
          <w:color w:val="auto"/>
          <w:szCs w:val="21"/>
          <w:highlight w:val="none"/>
        </w:rPr>
        <w:t>－中标价降幅系数）</w:t>
      </w:r>
      <w:r>
        <w:rPr>
          <w:rFonts w:ascii="宋体" w:hAnsi="宋体" w:eastAsia="宋体" w:cs="Times New Roman"/>
          <w:b/>
          <w:color w:val="auto"/>
          <w:szCs w:val="21"/>
          <w:highlight w:val="none"/>
        </w:rPr>
        <w:t>×8</w:t>
      </w:r>
      <w:r>
        <w:rPr>
          <w:rFonts w:hint="eastAsia" w:ascii="宋体" w:hAnsi="宋体" w:eastAsia="宋体" w:cs="Times New Roman"/>
          <w:b/>
          <w:color w:val="auto"/>
          <w:szCs w:val="21"/>
          <w:highlight w:val="none"/>
        </w:rPr>
        <w:t>0</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，其中中标价降幅系数</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（工程预算价－中标价）</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工程预算价</w:t>
      </w:r>
      <w:r>
        <w:rPr>
          <w:rFonts w:ascii="宋体" w:hAnsi="宋体" w:eastAsia="宋体" w:cs="Times New Roman"/>
          <w:b/>
          <w:color w:val="auto"/>
          <w:szCs w:val="21"/>
          <w:highlight w:val="none"/>
        </w:rPr>
        <w:t>×100%</w:t>
      </w:r>
    </w:p>
    <w:p w14:paraId="695DCB55">
      <w:pPr>
        <w:spacing w:line="560" w:lineRule="exact"/>
        <w:ind w:right="10" w:rightChars="5" w:firstLine="422" w:firstLineChars="200"/>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工程款支付额达到实际完成的总工程价款的80%时，暂停付款，预留20%作为工程尾款，待工程竣工（交工、完工）验收合格并审核结算后，再支付至工程结算总价的97%；余下的3%作为保修金，保修金支付按保修协议执行。</w:t>
      </w:r>
    </w:p>
    <w:p w14:paraId="128D4ADA">
      <w:pPr>
        <w:spacing w:line="560" w:lineRule="exact"/>
        <w:ind w:right="10" w:rightChars="5"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w:t>
      </w:r>
      <w:r>
        <w:rPr>
          <w:rFonts w:hint="eastAsia" w:ascii="宋体" w:hAnsi="宋体" w:eastAsia="宋体" w:cs="Times New Roman"/>
          <w:b/>
          <w:color w:val="auto"/>
          <w:szCs w:val="21"/>
          <w:highlight w:val="none"/>
        </w:rPr>
        <w:t>设计变更及现场签证增加的工程量进度款。设计变更和现场签证项目按照规定程序报相关部门审批后，由施工单位申请实际增加的工程量进度款，经过监理单位审核后按50%报建设单位拨款。余款待工程竣工(交工、完工)验收合格并审核结算后，再支付至工程结算总价的97%，余下的3%作为保修金，保修金支付按保修协议执行。</w:t>
      </w:r>
    </w:p>
    <w:p w14:paraId="7B7F8E9B">
      <w:pPr>
        <w:spacing w:line="56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宋体"/>
          <w:b/>
          <w:color w:val="auto"/>
          <w:szCs w:val="21"/>
          <w:highlight w:val="none"/>
        </w:rPr>
        <w:t>注：若因上级财政资金未及时拨付到位造成工程款未能按时支付的，承包人不得以此拖延施工或停工，且不作为发包人违约责任。</w:t>
      </w:r>
    </w:p>
    <w:p w14:paraId="1B6E5C97">
      <w:pPr>
        <w:spacing w:line="56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17.3.2.1付款方式：发包人收到承包人开具的等额税务发票后，通过银行转账支付上述有关费用，未提供发票的，付款期限相应顺延。</w:t>
      </w:r>
    </w:p>
    <w:p w14:paraId="5EFEE9DF">
      <w:pPr>
        <w:spacing w:line="560" w:lineRule="exact"/>
        <w:ind w:right="10" w:rightChars="5"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17</w:t>
      </w:r>
      <w:r>
        <w:rPr>
          <w:rFonts w:hint="eastAsia" w:ascii="宋体" w:hAnsi="宋体" w:eastAsia="宋体" w:cs="宋体"/>
          <w:b/>
          <w:color w:val="auto"/>
          <w:szCs w:val="21"/>
          <w:highlight w:val="none"/>
        </w:rPr>
        <w:t xml:space="preserve">.3.3 </w:t>
      </w:r>
      <w:r>
        <w:rPr>
          <w:rFonts w:hint="eastAsia" w:ascii="宋体" w:hAnsi="宋体" w:eastAsia="宋体" w:cs="Times New Roman"/>
          <w:b/>
          <w:color w:val="auto"/>
          <w:szCs w:val="21"/>
          <w:highlight w:val="none"/>
        </w:rPr>
        <w:t xml:space="preserve"> </w:t>
      </w:r>
      <w:r>
        <w:rPr>
          <w:rFonts w:hint="eastAsia" w:ascii="宋体" w:hAnsi="宋体" w:eastAsia="宋体" w:cs="宋体"/>
          <w:b/>
          <w:color w:val="auto"/>
          <w:szCs w:val="21"/>
          <w:highlight w:val="none"/>
        </w:rPr>
        <w:t>建设单位应坚持</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按年度计划、按项目预算、按合同约定、按工程进度</w:t>
      </w:r>
      <w:r>
        <w:rPr>
          <w:rFonts w:ascii="宋体" w:hAnsi="宋体" w:eastAsia="宋体" w:cs="Times New Roman"/>
          <w:b/>
          <w:color w:val="auto"/>
          <w:szCs w:val="21"/>
          <w:highlight w:val="none"/>
        </w:rPr>
        <w:t>”</w:t>
      </w:r>
      <w:r>
        <w:rPr>
          <w:rFonts w:hint="eastAsia" w:ascii="宋体" w:hAnsi="宋体" w:eastAsia="宋体" w:cs="宋体"/>
          <w:b/>
          <w:color w:val="auto"/>
          <w:szCs w:val="21"/>
          <w:highlight w:val="none"/>
        </w:rPr>
        <w:t>的原则，所有需拨付的建设资金经过审核后严格按比例拨付。对结算手续不完备、支付审批程序不规范以及发生重大质量问题的，一律暂缓或不拨付资金。</w:t>
      </w:r>
    </w:p>
    <w:p w14:paraId="5805D803">
      <w:pPr>
        <w:spacing w:line="560" w:lineRule="exact"/>
        <w:ind w:right="10" w:rightChars="5"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17</w:t>
      </w:r>
      <w:r>
        <w:rPr>
          <w:rFonts w:hint="eastAsia" w:ascii="宋体" w:hAnsi="宋体" w:eastAsia="宋体" w:cs="宋体"/>
          <w:b/>
          <w:color w:val="auto"/>
          <w:szCs w:val="21"/>
          <w:highlight w:val="none"/>
        </w:rPr>
        <w:t>.3.4  承包人应在工程</w:t>
      </w:r>
      <w:r>
        <w:rPr>
          <w:rFonts w:hint="eastAsia" w:ascii="宋体" w:hAnsi="宋体" w:eastAsia="宋体" w:cs="Times New Roman"/>
          <w:b/>
          <w:color w:val="auto"/>
          <w:szCs w:val="21"/>
          <w:highlight w:val="none"/>
        </w:rPr>
        <w:t>完工</w:t>
      </w:r>
      <w:r>
        <w:rPr>
          <w:rFonts w:hint="eastAsia" w:ascii="宋体" w:hAnsi="宋体" w:eastAsia="宋体" w:cs="宋体"/>
          <w:b/>
          <w:color w:val="auto"/>
          <w:szCs w:val="21"/>
          <w:highlight w:val="none"/>
        </w:rPr>
        <w:t>验收合格后</w:t>
      </w:r>
      <w:r>
        <w:rPr>
          <w:rFonts w:ascii="宋体" w:hAnsi="宋体" w:eastAsia="宋体" w:cs="Times New Roman"/>
          <w:b/>
          <w:color w:val="auto"/>
          <w:szCs w:val="21"/>
          <w:highlight w:val="none"/>
        </w:rPr>
        <w:t>28</w:t>
      </w:r>
      <w:r>
        <w:rPr>
          <w:rFonts w:hint="eastAsia" w:ascii="宋体" w:hAnsi="宋体" w:eastAsia="宋体" w:cs="宋体"/>
          <w:b/>
          <w:color w:val="auto"/>
          <w:szCs w:val="21"/>
          <w:highlight w:val="none"/>
        </w:rPr>
        <w:t>天内，出具公函向发包人递交</w:t>
      </w:r>
      <w:r>
        <w:rPr>
          <w:rFonts w:hint="eastAsia" w:ascii="宋体" w:hAnsi="宋体" w:eastAsia="宋体" w:cs="Times New Roman"/>
          <w:b/>
          <w:color w:val="auto"/>
          <w:szCs w:val="21"/>
          <w:highlight w:val="none"/>
        </w:rPr>
        <w:t>完工</w:t>
      </w:r>
      <w:r>
        <w:rPr>
          <w:rFonts w:hint="eastAsia" w:ascii="宋体" w:hAnsi="宋体" w:eastAsia="宋体" w:cs="宋体"/>
          <w:b/>
          <w:color w:val="auto"/>
          <w:szCs w:val="21"/>
          <w:highlight w:val="none"/>
        </w:rPr>
        <w:t>结算报告及完整的结算资料。</w:t>
      </w:r>
      <w:r>
        <w:rPr>
          <w:rFonts w:hint="eastAsia" w:ascii="宋体" w:hAnsi="宋体" w:eastAsia="宋体" w:cs="Times New Roman"/>
          <w:b/>
          <w:color w:val="auto"/>
          <w:szCs w:val="21"/>
          <w:highlight w:val="none"/>
        </w:rPr>
        <w:t>完工</w:t>
      </w:r>
      <w:r>
        <w:rPr>
          <w:rFonts w:hint="eastAsia" w:ascii="宋体" w:hAnsi="宋体" w:eastAsia="宋体" w:cs="宋体"/>
          <w:b/>
          <w:color w:val="auto"/>
          <w:szCs w:val="21"/>
          <w:highlight w:val="none"/>
        </w:rPr>
        <w:t>结算资料一般应包括：招标文件及其附件、施工合同及其补充协议、施工图纸、设计变更和现场签证及其审批文件、竣工图、工程结算书等以及经发承包双方认可的其他与工程价款有关的有效文件。</w:t>
      </w:r>
    </w:p>
    <w:p w14:paraId="0DCD10A1">
      <w:pPr>
        <w:spacing w:line="560" w:lineRule="exact"/>
        <w:ind w:right="10" w:rightChars="5" w:firstLine="422" w:firstLineChars="200"/>
        <w:rPr>
          <w:rFonts w:ascii="宋体" w:hAnsi="宋体" w:eastAsia="宋体" w:cs="宋体"/>
          <w:b/>
          <w:color w:val="auto"/>
          <w:szCs w:val="21"/>
          <w:highlight w:val="none"/>
        </w:rPr>
      </w:pPr>
      <w:r>
        <w:rPr>
          <w:rFonts w:hint="eastAsia" w:ascii="宋体" w:hAnsi="宋体" w:eastAsia="宋体" w:cs="Times New Roman"/>
          <w:b/>
          <w:color w:val="auto"/>
          <w:szCs w:val="21"/>
          <w:highlight w:val="none"/>
        </w:rPr>
        <w:t>17.3.</w:t>
      </w:r>
      <w:r>
        <w:rPr>
          <w:rFonts w:hint="eastAsia" w:ascii="宋体" w:hAnsi="宋体" w:eastAsia="宋体" w:cs="宋体"/>
          <w:b/>
          <w:color w:val="auto"/>
          <w:szCs w:val="21"/>
          <w:highlight w:val="none"/>
        </w:rPr>
        <w:t>5 承包人应在合同约定期限内完成项目</w:t>
      </w:r>
      <w:r>
        <w:rPr>
          <w:rFonts w:hint="eastAsia" w:ascii="宋体" w:hAnsi="宋体" w:eastAsia="宋体" w:cs="Times New Roman"/>
          <w:b/>
          <w:color w:val="auto"/>
          <w:szCs w:val="21"/>
          <w:highlight w:val="none"/>
        </w:rPr>
        <w:t>完工</w:t>
      </w:r>
      <w:r>
        <w:rPr>
          <w:rFonts w:hint="eastAsia" w:ascii="宋体" w:hAnsi="宋体" w:eastAsia="宋体" w:cs="宋体"/>
          <w:b/>
          <w:color w:val="auto"/>
          <w:szCs w:val="21"/>
          <w:highlight w:val="none"/>
        </w:rPr>
        <w:t>结算编制工作，未在规定期限内完成的并且提不出正当理由延期的，或经发包人催促后</w:t>
      </w:r>
      <w:r>
        <w:rPr>
          <w:rFonts w:ascii="宋体" w:hAnsi="宋体" w:eastAsia="宋体" w:cs="Times New Roman"/>
          <w:b/>
          <w:color w:val="auto"/>
          <w:szCs w:val="21"/>
          <w:highlight w:val="none"/>
        </w:rPr>
        <w:t>14</w:t>
      </w:r>
      <w:r>
        <w:rPr>
          <w:rFonts w:hint="eastAsia" w:ascii="宋体" w:hAnsi="宋体" w:eastAsia="宋体" w:cs="宋体"/>
          <w:b/>
          <w:color w:val="auto"/>
          <w:szCs w:val="21"/>
          <w:highlight w:val="none"/>
        </w:rPr>
        <w:t>天内仍未提供或没有明确答复的，发包人有权根据已有资料进行审核，责任由承包人自负。</w:t>
      </w:r>
    </w:p>
    <w:p w14:paraId="277C13CE">
      <w:pPr>
        <w:spacing w:line="560" w:lineRule="exact"/>
        <w:ind w:right="10" w:rightChars="5" w:firstLine="422" w:firstLineChars="200"/>
        <w:rPr>
          <w:rFonts w:hint="eastAsia" w:ascii="宋体" w:hAnsi="宋体" w:eastAsia="宋体" w:cs="宋体"/>
          <w:b/>
          <w:color w:val="auto"/>
          <w:szCs w:val="21"/>
          <w:highlight w:val="none"/>
        </w:rPr>
      </w:pPr>
      <w:r>
        <w:rPr>
          <w:rFonts w:hint="eastAsia" w:ascii="宋体" w:hAnsi="宋体" w:eastAsia="宋体" w:cs="Times New Roman"/>
          <w:b/>
          <w:color w:val="auto"/>
          <w:szCs w:val="21"/>
          <w:highlight w:val="none"/>
        </w:rPr>
        <w:t>17.3.</w:t>
      </w:r>
      <w:r>
        <w:rPr>
          <w:rFonts w:hint="eastAsia" w:ascii="宋体" w:hAnsi="宋体" w:eastAsia="宋体" w:cs="宋体"/>
          <w:b/>
          <w:color w:val="auto"/>
          <w:szCs w:val="21"/>
          <w:highlight w:val="none"/>
        </w:rPr>
        <w:t>6 发包人应当自收到结算资料之日起</w:t>
      </w:r>
      <w:r>
        <w:rPr>
          <w:rFonts w:ascii="宋体" w:hAnsi="宋体" w:eastAsia="宋体" w:cs="Times New Roman"/>
          <w:b/>
          <w:color w:val="auto"/>
          <w:szCs w:val="21"/>
          <w:highlight w:val="none"/>
        </w:rPr>
        <w:t>7</w:t>
      </w:r>
      <w:r>
        <w:rPr>
          <w:rFonts w:hint="eastAsia" w:ascii="宋体" w:hAnsi="宋体" w:eastAsia="宋体" w:cs="宋体"/>
          <w:b/>
          <w:color w:val="auto"/>
          <w:szCs w:val="21"/>
          <w:highlight w:val="none"/>
        </w:rPr>
        <w:t>天内对资料的完整性进行审查，经监理单位初审后，报同级财政部门或审计部门</w:t>
      </w:r>
      <w:r>
        <w:rPr>
          <w:rFonts w:hint="eastAsia" w:ascii="宋体" w:hAnsi="宋体" w:eastAsia="宋体" w:cs="Times New Roman"/>
          <w:b/>
          <w:color w:val="auto"/>
          <w:szCs w:val="21"/>
          <w:highlight w:val="none"/>
        </w:rPr>
        <w:t>或第三方咨询机构</w:t>
      </w:r>
      <w:r>
        <w:rPr>
          <w:rFonts w:hint="eastAsia" w:ascii="宋体" w:hAnsi="宋体" w:eastAsia="宋体" w:cs="宋体"/>
          <w:b/>
          <w:color w:val="auto"/>
          <w:szCs w:val="21"/>
          <w:highlight w:val="none"/>
        </w:rPr>
        <w:t>审核。</w:t>
      </w:r>
    </w:p>
    <w:p w14:paraId="7A9667CB">
      <w:pPr>
        <w:spacing w:line="400" w:lineRule="exact"/>
        <w:ind w:right="248"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17.3.</w:t>
      </w:r>
      <w:r>
        <w:rPr>
          <w:rFonts w:hint="eastAsia" w:ascii="宋体" w:hAnsi="宋体" w:eastAsia="宋体" w:cs="宋体"/>
          <w:b/>
          <w:color w:val="auto"/>
          <w:szCs w:val="21"/>
          <w:highlight w:val="none"/>
        </w:rPr>
        <w:t>7</w:t>
      </w:r>
      <w:r>
        <w:rPr>
          <w:rFonts w:hint="eastAsia" w:ascii="宋体" w:hAnsi="宋体" w:eastAsia="宋体" w:cs="Times New Roman"/>
          <w:b/>
          <w:color w:val="auto"/>
          <w:szCs w:val="21"/>
          <w:highlight w:val="none"/>
        </w:rPr>
        <w:t>若审计部门对项目进行审计，审计部门的审核结论应该作为最终结算的依据。</w:t>
      </w:r>
    </w:p>
    <w:p w14:paraId="6012F2F8">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459" w:name="_Toc511636024"/>
      <w:bookmarkStart w:id="460" w:name="_Toc262638024"/>
      <w:bookmarkStart w:id="461" w:name="_Toc221951260"/>
      <w:r>
        <w:rPr>
          <w:rFonts w:ascii="宋体" w:hAnsi="宋体" w:eastAsia="宋体" w:cs="Times New Roman"/>
          <w:b/>
          <w:bCs/>
          <w:color w:val="auto"/>
          <w:sz w:val="28"/>
          <w:szCs w:val="28"/>
          <w:highlight w:val="none"/>
        </w:rPr>
        <w:t>17</w:t>
      </w:r>
      <w:r>
        <w:rPr>
          <w:rFonts w:hint="eastAsia" w:ascii="宋体" w:hAnsi="宋体" w:eastAsia="宋体" w:cs="Times New Roman"/>
          <w:b/>
          <w:bCs/>
          <w:color w:val="auto"/>
          <w:sz w:val="28"/>
          <w:szCs w:val="28"/>
          <w:highlight w:val="none"/>
        </w:rPr>
        <w:t>.</w:t>
      </w:r>
      <w:r>
        <w:rPr>
          <w:rFonts w:ascii="宋体" w:hAnsi="宋体" w:eastAsia="宋体" w:cs="Times New Roman"/>
          <w:b/>
          <w:bCs/>
          <w:color w:val="auto"/>
          <w:sz w:val="28"/>
          <w:szCs w:val="28"/>
          <w:highlight w:val="none"/>
        </w:rPr>
        <w:t>4</w:t>
      </w:r>
      <w:r>
        <w:rPr>
          <w:rFonts w:hint="eastAsia" w:ascii="宋体" w:hAnsi="宋体" w:eastAsia="宋体" w:cs="Times New Roman"/>
          <w:b/>
          <w:bCs/>
          <w:color w:val="auto"/>
          <w:sz w:val="28"/>
          <w:szCs w:val="28"/>
          <w:highlight w:val="none"/>
        </w:rPr>
        <w:t xml:space="preserve"> 质量保证金</w:t>
      </w:r>
      <w:bookmarkEnd w:id="459"/>
      <w:bookmarkEnd w:id="460"/>
      <w:bookmarkEnd w:id="461"/>
    </w:p>
    <w:p w14:paraId="06379FB0">
      <w:pPr>
        <w:widowControl/>
        <w:shd w:val="clear" w:color="auto" w:fill="FFFFFF"/>
        <w:snapToGrid w:val="0"/>
        <w:spacing w:line="520" w:lineRule="exact"/>
        <w:ind w:firstLine="420" w:firstLineChars="200"/>
        <w:jc w:val="left"/>
        <w:rPr>
          <w:rFonts w:hint="eastAsia" w:ascii="宋体" w:hAnsi="宋体" w:eastAsia="宋体" w:cs="Times New Roman"/>
          <w:color w:val="auto"/>
          <w:szCs w:val="21"/>
          <w:highlight w:val="none"/>
        </w:rPr>
      </w:pPr>
      <w:bookmarkStart w:id="462" w:name="_Toc221951262"/>
      <w:r>
        <w:rPr>
          <w:rFonts w:hint="eastAsia" w:ascii="宋体" w:hAnsi="宋体" w:eastAsia="宋体" w:cs="Times New Roman"/>
          <w:color w:val="auto"/>
          <w:szCs w:val="21"/>
          <w:highlight w:val="none"/>
        </w:rPr>
        <w:t>17.4.1</w:t>
      </w:r>
      <w:bookmarkEnd w:id="462"/>
      <w:r>
        <w:rPr>
          <w:rFonts w:hint="eastAsia" w:ascii="宋体" w:hAnsi="宋体" w:eastAsia="宋体" w:cs="Times New Roman"/>
          <w:color w:val="auto"/>
          <w:szCs w:val="21"/>
          <w:highlight w:val="none"/>
        </w:rPr>
        <w:t xml:space="preserve"> 一次性扣留工程结算总价的3%作为质量保证金(合同另行约定的除外)。</w:t>
      </w:r>
    </w:p>
    <w:p w14:paraId="6F9E7ACD">
      <w:pPr>
        <w:keepNext/>
        <w:keepLines/>
        <w:adjustRightInd w:val="0"/>
        <w:snapToGrid w:val="0"/>
        <w:spacing w:line="520" w:lineRule="exact"/>
        <w:ind w:firstLine="211" w:firstLineChars="100"/>
        <w:outlineLvl w:val="3"/>
        <w:rPr>
          <w:rFonts w:hint="eastAsia" w:ascii="宋体" w:hAnsi="宋体" w:eastAsia="宋体" w:cs="Times New Roman"/>
          <w:b/>
          <w:color w:val="auto"/>
          <w:kern w:val="0"/>
          <w:szCs w:val="21"/>
          <w:highlight w:val="none"/>
          <w:lang w:eastAsia="zh-CN"/>
        </w:rPr>
      </w:pPr>
      <w:r>
        <w:rPr>
          <w:rFonts w:hint="eastAsia" w:ascii="宋体" w:hAnsi="宋体" w:eastAsia="宋体" w:cs="Times New Roman"/>
          <w:b/>
          <w:color w:val="auto"/>
          <w:szCs w:val="21"/>
          <w:highlight w:val="none"/>
        </w:rPr>
        <w:t>17.4.2</w:t>
      </w:r>
      <w:bookmarkStart w:id="463" w:name="_Toc221951265"/>
      <w:bookmarkStart w:id="464" w:name="_Toc511636025"/>
      <w:bookmarkStart w:id="465" w:name="_Toc262638025"/>
      <w:r>
        <w:rPr>
          <w:rFonts w:hint="eastAsia" w:ascii="宋体" w:hAnsi="宋体" w:eastAsia="宋体" w:cs="Times New Roman"/>
          <w:b/>
          <w:color w:val="auto"/>
          <w:szCs w:val="21"/>
          <w:highlight w:val="none"/>
        </w:rPr>
        <w:t>本项目</w:t>
      </w:r>
      <w:r>
        <w:rPr>
          <w:rFonts w:hint="eastAsia" w:ascii="宋体" w:hAnsi="宋体" w:eastAsia="宋体" w:cs="宋体"/>
          <w:b/>
          <w:color w:val="auto"/>
          <w:szCs w:val="21"/>
          <w:highlight w:val="none"/>
        </w:rPr>
        <w:t>的工程结算总价的3%质量保证金待缺陷责任期及养护期满验收合格后</w:t>
      </w:r>
      <w:r>
        <w:rPr>
          <w:rFonts w:hint="eastAsia" w:ascii="宋体" w:hAnsi="宋体" w:eastAsia="宋体" w:cs="Times New Roman"/>
          <w:b/>
          <w:color w:val="auto"/>
          <w:kern w:val="0"/>
          <w:szCs w:val="21"/>
          <w:highlight w:val="none"/>
        </w:rPr>
        <w:t>由承包人申请退还。发包人将在30个工作日内组织监理人和承包人按照合同约定的内容进行核实。如有质量问题的，承包人负责无条件保修到位；如无异议，核实承包人是否完成保修责任。如无异议，发包人应当在核实后将质量保证金无息返还给承包人。质量保证金返还后，并不能免除承包人按照有关法律法规及合同约定的质量保修责任和应履行的质量保修义务。</w:t>
      </w:r>
    </w:p>
    <w:p w14:paraId="0FE5C73E">
      <w:pPr>
        <w:keepNext/>
        <w:keepLines/>
        <w:adjustRightInd w:val="0"/>
        <w:snapToGrid w:val="0"/>
        <w:spacing w:line="520" w:lineRule="exact"/>
        <w:outlineLvl w:val="3"/>
        <w:rPr>
          <w:rFonts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17.5 竣工（完工）结算</w:t>
      </w:r>
      <w:bookmarkEnd w:id="463"/>
      <w:bookmarkEnd w:id="464"/>
      <w:bookmarkEnd w:id="465"/>
    </w:p>
    <w:p w14:paraId="684805E4">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66" w:name="_Toc221951266"/>
      <w:r>
        <w:rPr>
          <w:rFonts w:ascii="宋体" w:hAnsi="宋体" w:eastAsia="宋体" w:cs="Times New Roman"/>
          <w:color w:val="auto"/>
          <w:szCs w:val="21"/>
          <w:highlight w:val="none"/>
        </w:rPr>
        <w:t>17</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竣工（完工）付款申请单</w:t>
      </w:r>
      <w:bookmarkEnd w:id="466"/>
      <w:r>
        <w:rPr>
          <w:rFonts w:hint="eastAsia" w:ascii="宋体" w:hAnsi="宋体" w:eastAsia="宋体" w:cs="Times New Roman"/>
          <w:color w:val="auto"/>
          <w:szCs w:val="21"/>
          <w:highlight w:val="none"/>
        </w:rPr>
        <w:t xml:space="preserve"> </w:t>
      </w:r>
    </w:p>
    <w:p w14:paraId="6C4D3C1D">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67" w:name="_Toc221951267"/>
      <w:r>
        <w:rPr>
          <w:rFonts w:hint="eastAsia" w:ascii="宋体" w:hAnsi="宋体" w:eastAsia="宋体" w:cs="Times New Roman"/>
          <w:color w:val="auto"/>
          <w:szCs w:val="21"/>
          <w:highlight w:val="none"/>
        </w:rPr>
        <w:t>（1）承包人应提交完工付款申请单一式</w:t>
      </w:r>
      <w:bookmarkEnd w:id="467"/>
      <w:r>
        <w:rPr>
          <w:rFonts w:hint="eastAsia" w:ascii="宋体" w:hAnsi="宋体" w:eastAsia="宋体" w:cs="Times New Roman"/>
          <w:color w:val="auto"/>
          <w:szCs w:val="21"/>
          <w:highlight w:val="none"/>
          <w:u w:val="single"/>
        </w:rPr>
        <w:t xml:space="preserve">  陆 </w:t>
      </w:r>
      <w:r>
        <w:rPr>
          <w:rFonts w:hint="eastAsia" w:ascii="宋体" w:hAnsi="宋体" w:eastAsia="宋体" w:cs="Times New Roman"/>
          <w:color w:val="auto"/>
          <w:szCs w:val="21"/>
          <w:highlight w:val="none"/>
        </w:rPr>
        <w:t>份，期限为</w:t>
      </w:r>
      <w:r>
        <w:rPr>
          <w:rFonts w:hint="eastAsia" w:ascii="宋体" w:hAnsi="宋体" w:eastAsia="宋体" w:cs="Times New Roman"/>
          <w:color w:val="auto"/>
          <w:szCs w:val="21"/>
          <w:highlight w:val="none"/>
          <w:u w:val="single"/>
        </w:rPr>
        <w:t xml:space="preserve"> 完工验收合格后28天内。</w:t>
      </w:r>
    </w:p>
    <w:p w14:paraId="755365EC">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468" w:name="_Toc262638026"/>
      <w:bookmarkStart w:id="469" w:name="_Toc511636026"/>
      <w:bookmarkStart w:id="470" w:name="_Toc221951268"/>
      <w:r>
        <w:rPr>
          <w:rFonts w:hint="eastAsia" w:ascii="宋体" w:hAnsi="宋体" w:eastAsia="宋体" w:cs="Times New Roman"/>
          <w:b/>
          <w:bCs/>
          <w:color w:val="auto"/>
          <w:sz w:val="28"/>
          <w:szCs w:val="28"/>
          <w:highlight w:val="none"/>
        </w:rPr>
        <w:t>17.6 最终结清</w:t>
      </w:r>
      <w:bookmarkEnd w:id="468"/>
      <w:bookmarkEnd w:id="469"/>
      <w:bookmarkEnd w:id="470"/>
    </w:p>
    <w:p w14:paraId="58CF631A">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71" w:name="_Toc221951269"/>
      <w:r>
        <w:rPr>
          <w:rFonts w:ascii="宋体" w:hAnsi="宋体" w:eastAsia="宋体" w:cs="Times New Roman"/>
          <w:color w:val="auto"/>
          <w:szCs w:val="21"/>
          <w:highlight w:val="none"/>
        </w:rPr>
        <w:t>17</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 xml:space="preserve"> 最终结清申请单</w:t>
      </w:r>
      <w:bookmarkEnd w:id="471"/>
    </w:p>
    <w:p w14:paraId="423F547B">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472" w:name="_Toc221951270"/>
      <w:r>
        <w:rPr>
          <w:rFonts w:hint="eastAsia" w:ascii="宋体" w:hAnsi="宋体" w:eastAsia="宋体" w:cs="Times New Roman"/>
          <w:color w:val="auto"/>
          <w:szCs w:val="21"/>
          <w:highlight w:val="none"/>
        </w:rPr>
        <w:t>（1）承包人应提交最终结清申请单一式</w:t>
      </w:r>
      <w:r>
        <w:rPr>
          <w:rFonts w:hint="eastAsia" w:ascii="宋体" w:hAnsi="宋体" w:eastAsia="宋体" w:cs="Times New Roman"/>
          <w:color w:val="auto"/>
          <w:szCs w:val="21"/>
          <w:highlight w:val="none"/>
          <w:u w:val="single"/>
        </w:rPr>
        <w:t xml:space="preserve">  陆 </w:t>
      </w:r>
      <w:r>
        <w:rPr>
          <w:rFonts w:hint="eastAsia" w:ascii="宋体" w:hAnsi="宋体" w:eastAsia="宋体" w:cs="Times New Roman"/>
          <w:color w:val="auto"/>
          <w:szCs w:val="21"/>
          <w:highlight w:val="none"/>
        </w:rPr>
        <w:t>份，期限为</w:t>
      </w:r>
      <w:r>
        <w:rPr>
          <w:rFonts w:hint="eastAsia" w:ascii="宋体" w:hAnsi="宋体" w:eastAsia="宋体" w:cs="Times New Roman"/>
          <w:color w:val="auto"/>
          <w:szCs w:val="21"/>
          <w:highlight w:val="none"/>
          <w:u w:val="single"/>
        </w:rPr>
        <w:t xml:space="preserve"> 缺陷责任期终止证书签发后28天内 </w:t>
      </w:r>
      <w:r>
        <w:rPr>
          <w:rFonts w:hint="eastAsia" w:ascii="宋体" w:hAnsi="宋体" w:eastAsia="宋体" w:cs="Times New Roman"/>
          <w:color w:val="auto"/>
          <w:szCs w:val="21"/>
          <w:highlight w:val="none"/>
        </w:rPr>
        <w:t>。</w:t>
      </w:r>
      <w:bookmarkEnd w:id="472"/>
    </w:p>
    <w:p w14:paraId="02F5BAE0">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473" w:name="_Toc511636027"/>
      <w:bookmarkStart w:id="474" w:name="_Toc262638027"/>
      <w:r>
        <w:rPr>
          <w:rFonts w:hint="eastAsia" w:ascii="宋体" w:hAnsi="宋体" w:eastAsia="宋体" w:cs="Times New Roman"/>
          <w:b/>
          <w:bCs/>
          <w:color w:val="auto"/>
          <w:sz w:val="28"/>
          <w:szCs w:val="28"/>
          <w:highlight w:val="none"/>
        </w:rPr>
        <w:t>17.7 竣工财务决算</w:t>
      </w:r>
      <w:bookmarkEnd w:id="473"/>
      <w:bookmarkEnd w:id="474"/>
    </w:p>
    <w:p w14:paraId="08DB79D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承包人应为竣工财务决算编制提供的资料：</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按相关规定执行</w:t>
      </w:r>
      <w:r>
        <w:rPr>
          <w:rFonts w:ascii="宋体" w:hAnsi="宋体" w:eastAsia="宋体" w:cs="Times New Roman"/>
          <w:color w:val="auto"/>
          <w:szCs w:val="21"/>
          <w:highlight w:val="none"/>
        </w:rPr>
        <w:t>__</w:t>
      </w:r>
      <w:r>
        <w:rPr>
          <w:rFonts w:hint="eastAsia" w:ascii="宋体" w:hAnsi="宋体" w:eastAsia="宋体" w:cs="Times New Roman"/>
          <w:color w:val="auto"/>
          <w:szCs w:val="21"/>
          <w:highlight w:val="none"/>
        </w:rPr>
        <w:t>。</w:t>
      </w:r>
    </w:p>
    <w:p w14:paraId="6EEFA209">
      <w:pPr>
        <w:keepNext/>
        <w:keepLines/>
        <w:adjustRightInd w:val="0"/>
        <w:snapToGrid w:val="0"/>
        <w:spacing w:line="520" w:lineRule="exact"/>
        <w:jc w:val="left"/>
        <w:outlineLvl w:val="2"/>
        <w:rPr>
          <w:rFonts w:hint="eastAsia" w:ascii="宋体" w:hAnsi="宋体" w:eastAsia="宋体" w:cs="Times New Roman"/>
          <w:b/>
          <w:bCs/>
          <w:color w:val="auto"/>
          <w:sz w:val="28"/>
          <w:szCs w:val="28"/>
          <w:highlight w:val="none"/>
        </w:rPr>
      </w:pPr>
      <w:bookmarkStart w:id="475" w:name="_Toc229305399"/>
      <w:bookmarkStart w:id="476" w:name="_Toc222031043"/>
      <w:bookmarkStart w:id="477" w:name="_Toc222032710"/>
      <w:bookmarkStart w:id="478" w:name="_Toc222029541"/>
      <w:bookmarkStart w:id="479" w:name="_Toc221951271"/>
      <w:bookmarkStart w:id="480" w:name="_Toc222033892"/>
      <w:bookmarkStart w:id="481" w:name="_Toc7185622"/>
      <w:bookmarkStart w:id="482" w:name="_Toc35605781"/>
      <w:bookmarkStart w:id="483" w:name="_Toc256000176"/>
      <w:bookmarkStart w:id="484" w:name="_Toc516816180"/>
      <w:bookmarkStart w:id="485" w:name="_Toc515441177"/>
      <w:bookmarkStart w:id="486" w:name="_Toc487489991"/>
      <w:bookmarkStart w:id="487" w:name="_Toc10809"/>
      <w:bookmarkStart w:id="488" w:name="_Toc22037"/>
      <w:bookmarkStart w:id="489" w:name="_Toc5401"/>
      <w:bookmarkStart w:id="490" w:name="_Toc256000247"/>
      <w:bookmarkStart w:id="491" w:name="_Toc256000123"/>
      <w:bookmarkStart w:id="492" w:name="_Toc256000145"/>
      <w:bookmarkStart w:id="493" w:name="_Toc511636028"/>
      <w:r>
        <w:rPr>
          <w:rFonts w:hint="eastAsia" w:ascii="宋体" w:hAnsi="宋体" w:eastAsia="宋体" w:cs="Times New Roman"/>
          <w:b/>
          <w:bCs/>
          <w:color w:val="auto"/>
          <w:sz w:val="28"/>
          <w:szCs w:val="28"/>
          <w:highlight w:val="none"/>
        </w:rPr>
        <w:t>18 竣工验收</w:t>
      </w:r>
      <w:bookmarkEnd w:id="475"/>
      <w:bookmarkEnd w:id="476"/>
      <w:bookmarkEnd w:id="477"/>
      <w:bookmarkEnd w:id="478"/>
      <w:bookmarkEnd w:id="479"/>
      <w:bookmarkEnd w:id="480"/>
      <w:r>
        <w:rPr>
          <w:rFonts w:hint="eastAsia" w:ascii="宋体" w:hAnsi="宋体" w:eastAsia="宋体" w:cs="Times New Roman"/>
          <w:b/>
          <w:bCs/>
          <w:color w:val="auto"/>
          <w:sz w:val="28"/>
          <w:szCs w:val="28"/>
          <w:highlight w:val="none"/>
        </w:rPr>
        <w:t>（验收）</w:t>
      </w:r>
      <w:bookmarkEnd w:id="481"/>
      <w:bookmarkEnd w:id="482"/>
      <w:bookmarkEnd w:id="483"/>
      <w:bookmarkEnd w:id="484"/>
      <w:bookmarkEnd w:id="485"/>
      <w:bookmarkEnd w:id="486"/>
      <w:bookmarkEnd w:id="487"/>
      <w:bookmarkEnd w:id="488"/>
      <w:bookmarkEnd w:id="489"/>
      <w:bookmarkEnd w:id="490"/>
      <w:bookmarkEnd w:id="491"/>
      <w:bookmarkEnd w:id="492"/>
      <w:bookmarkEnd w:id="493"/>
    </w:p>
    <w:p w14:paraId="328D90C2">
      <w:pPr>
        <w:keepNext/>
        <w:keepLines/>
        <w:adjustRightInd w:val="0"/>
        <w:snapToGrid w:val="0"/>
        <w:spacing w:line="520" w:lineRule="exact"/>
        <w:jc w:val="left"/>
        <w:outlineLvl w:val="2"/>
        <w:rPr>
          <w:rFonts w:hint="eastAsia" w:ascii="宋体" w:hAnsi="宋体" w:eastAsia="宋体" w:cs="Times New Roman"/>
          <w:b/>
          <w:bCs/>
          <w:color w:val="auto"/>
          <w:sz w:val="28"/>
          <w:szCs w:val="28"/>
          <w:highlight w:val="none"/>
        </w:rPr>
      </w:pPr>
      <w:bookmarkStart w:id="494" w:name="_Toc12307"/>
      <w:bookmarkStart w:id="495" w:name="_Toc14529"/>
      <w:bookmarkStart w:id="496" w:name="_Toc30545"/>
      <w:bookmarkStart w:id="497" w:name="_Toc11619"/>
      <w:bookmarkStart w:id="498" w:name="_Toc256000248"/>
      <w:bookmarkStart w:id="499" w:name="_Toc21446"/>
      <w:bookmarkStart w:id="500" w:name="_Toc256000177"/>
      <w:r>
        <w:rPr>
          <w:rFonts w:hint="eastAsia" w:ascii="宋体" w:hAnsi="宋体" w:eastAsia="宋体" w:cs="Times New Roman"/>
          <w:b/>
          <w:bCs/>
          <w:color w:val="auto"/>
          <w:sz w:val="28"/>
          <w:szCs w:val="28"/>
          <w:highlight w:val="none"/>
        </w:rPr>
        <w:t>18.10竣工（完工）文件的编制与提交</w:t>
      </w:r>
      <w:bookmarkEnd w:id="494"/>
      <w:bookmarkEnd w:id="495"/>
      <w:bookmarkEnd w:id="496"/>
      <w:bookmarkEnd w:id="497"/>
      <w:bookmarkEnd w:id="498"/>
      <w:bookmarkEnd w:id="499"/>
      <w:bookmarkEnd w:id="500"/>
    </w:p>
    <w:p w14:paraId="711F97BC">
      <w:pPr>
        <w:spacing w:line="360" w:lineRule="auto"/>
        <w:ind w:firstLine="420" w:firstLineChars="200"/>
        <w:rPr>
          <w:rFonts w:ascii="宋体" w:hAnsi="宋体" w:eastAsia="宋体" w:cs="宋体"/>
          <w:color w:val="auto"/>
          <w:szCs w:val="21"/>
          <w:highlight w:val="none"/>
        </w:rPr>
      </w:pPr>
      <w:bookmarkStart w:id="501" w:name="_Toc487489992"/>
      <w:bookmarkStart w:id="502" w:name="_Toc256000124"/>
      <w:bookmarkStart w:id="503" w:name="_Toc7185623"/>
      <w:bookmarkStart w:id="504" w:name="_Toc256000146"/>
      <w:bookmarkStart w:id="505" w:name="_Toc20843"/>
      <w:bookmarkStart w:id="506" w:name="_Toc511636037"/>
      <w:bookmarkStart w:id="507" w:name="_Toc515441178"/>
      <w:bookmarkStart w:id="508" w:name="_Toc35605782"/>
      <w:bookmarkStart w:id="509" w:name="_Toc516816181"/>
      <w:r>
        <w:rPr>
          <w:rFonts w:hint="eastAsia" w:ascii="宋体" w:hAnsi="宋体" w:eastAsia="宋体" w:cs="宋体"/>
          <w:color w:val="auto"/>
          <w:szCs w:val="21"/>
          <w:highlight w:val="none"/>
        </w:rPr>
        <w:t>18.10.1承包人提供竣工图的约定：</w:t>
      </w:r>
      <w:r>
        <w:rPr>
          <w:rFonts w:hint="eastAsia" w:ascii="宋体" w:hAnsi="宋体" w:eastAsia="宋体" w:cs="宋体"/>
          <w:color w:val="auto"/>
          <w:szCs w:val="21"/>
          <w:highlight w:val="none"/>
          <w:u w:val="single"/>
        </w:rPr>
        <w:t>（1）施工中没有设计变更，施工后由承包人在发包人提供的施工图纸加盖竣工图章提交发包人；（2）施工中只有零星的少量设计变更，承包人在施工图变更位置注明，并连同经发包人同意的变更签证，于完工后由承包人加盖竣工图章提交发包人；（3）施工中对原设计变更较多，原施工图难于作为竣工图，应由承包人组织重新绘制竣工图并承担相应费用；（4）工程完工验收后28日内免费提供给发包人5套、城市档案馆1套完整符合要求的竣工图、完工资料，每延迟一天支付2000元作为违约金;</w:t>
      </w:r>
    </w:p>
    <w:p w14:paraId="796527A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18.10.2当工程具备完工验收条件时，承包人应及时向发包人提交竣完工报告及完工资料，严禁“三拖”（拖验收、拖资料、拖移交）；否则发包人有权依据监理人出具的鉴定结论书，自行组织有关部门验收，并提出修改意见。承包人必须按要求整改，并承担整改费用；若承包人拒绝按发包人提出的要求整改，发包人有权另请他人整改，由此发生的整改费用从未付工程款中扣除，不足部分发包人有权向承包人追偿。当验收通过后具备交付使用条件时，承包人不得以任何借口拒绝移交工程，否则，发包人有权使用，由此发生的一切后果均由承包人负责。</w:t>
      </w:r>
    </w:p>
    <w:p w14:paraId="232631E3">
      <w:pPr>
        <w:spacing w:line="360" w:lineRule="auto"/>
        <w:ind w:firstLine="420" w:firstLineChars="200"/>
        <w:rPr>
          <w:rFonts w:ascii="宋体" w:hAnsi="宋体" w:eastAsia="宋体" w:cs="宋体"/>
          <w:color w:val="auto"/>
          <w:sz w:val="24"/>
          <w:szCs w:val="22"/>
          <w:highlight w:val="none"/>
        </w:rPr>
      </w:pPr>
      <w:r>
        <w:rPr>
          <w:rFonts w:hint="eastAsia" w:ascii="宋体" w:hAnsi="宋体" w:eastAsia="宋体" w:cs="宋体"/>
          <w:color w:val="auto"/>
          <w:szCs w:val="21"/>
          <w:highlight w:val="none"/>
          <w:u w:val="single"/>
        </w:rPr>
        <w:t>18.10.3工程完工验收合格后，发包人与承包人应按通用条款的约定尽快办理完工程决算。</w:t>
      </w:r>
    </w:p>
    <w:p w14:paraId="2ECA92F8">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510" w:name="_Toc256000249"/>
      <w:bookmarkStart w:id="511" w:name="_Toc12367"/>
      <w:bookmarkStart w:id="512" w:name="_Toc29140"/>
      <w:bookmarkStart w:id="513" w:name="_Toc256000178"/>
      <w:r>
        <w:rPr>
          <w:rFonts w:hint="eastAsia" w:ascii="宋体" w:hAnsi="宋体" w:eastAsia="宋体" w:cs="Times New Roman"/>
          <w:b/>
          <w:bCs/>
          <w:color w:val="auto"/>
          <w:sz w:val="28"/>
          <w:szCs w:val="28"/>
          <w:highlight w:val="none"/>
        </w:rPr>
        <w:t>19 缺陷责任与保修责任</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6A27466E">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514" w:name="_Toc511636038"/>
      <w:bookmarkStart w:id="515" w:name="_Toc262638038"/>
      <w:r>
        <w:rPr>
          <w:rFonts w:hint="eastAsia" w:ascii="宋体" w:hAnsi="宋体" w:eastAsia="宋体" w:cs="Times New Roman"/>
          <w:b/>
          <w:bCs/>
          <w:color w:val="auto"/>
          <w:sz w:val="28"/>
          <w:szCs w:val="28"/>
          <w:highlight w:val="none"/>
        </w:rPr>
        <w:t>19.1 缺陷责任期（工程质量保修期）的起算时间</w:t>
      </w:r>
      <w:bookmarkEnd w:id="514"/>
      <w:bookmarkEnd w:id="515"/>
    </w:p>
    <w:p w14:paraId="3FF88DA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本工程缺陷责任期（工程质量保修期）计算如下：</w:t>
      </w:r>
      <w:r>
        <w:rPr>
          <w:rFonts w:hint="eastAsia" w:ascii="宋体" w:hAnsi="宋体" w:eastAsia="宋体" w:cs="宋体"/>
          <w:color w:val="auto"/>
          <w:szCs w:val="21"/>
          <w:highlight w:val="none"/>
          <w:u w:val="single"/>
          <w:lang w:val="en-US" w:eastAsia="zh-CN"/>
        </w:rPr>
        <w:t>水生植物</w:t>
      </w:r>
      <w:r>
        <w:rPr>
          <w:rFonts w:hint="eastAsia" w:ascii="宋体" w:hAnsi="宋体" w:eastAsia="宋体" w:cs="宋体"/>
          <w:color w:val="auto"/>
          <w:szCs w:val="21"/>
          <w:highlight w:val="none"/>
          <w:u w:val="single"/>
        </w:rPr>
        <w:t>种植工程养护期为完工验收合格之日起</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年，其他工程通过完工验收合格之日算起 24 个月</w:t>
      </w:r>
      <w:r>
        <w:rPr>
          <w:rFonts w:hint="eastAsia" w:ascii="宋体" w:hAnsi="宋体" w:eastAsia="宋体" w:cs="Times New Roman"/>
          <w:color w:val="auto"/>
          <w:szCs w:val="21"/>
          <w:highlight w:val="none"/>
        </w:rPr>
        <w:t>。</w:t>
      </w:r>
    </w:p>
    <w:p w14:paraId="3EB98336">
      <w:pPr>
        <w:keepNext/>
        <w:keepLines/>
        <w:adjustRightInd w:val="0"/>
        <w:snapToGrid w:val="0"/>
        <w:spacing w:line="520" w:lineRule="exact"/>
        <w:jc w:val="left"/>
        <w:outlineLvl w:val="2"/>
        <w:rPr>
          <w:rFonts w:ascii="宋体" w:hAnsi="宋体" w:eastAsia="宋体" w:cs="Times New Roman"/>
          <w:b/>
          <w:bCs/>
          <w:color w:val="auto"/>
          <w:sz w:val="28"/>
          <w:szCs w:val="28"/>
          <w:highlight w:val="none"/>
        </w:rPr>
      </w:pPr>
      <w:bookmarkStart w:id="516" w:name="_Toc221951299"/>
      <w:bookmarkStart w:id="517" w:name="_Toc222032711"/>
      <w:bookmarkStart w:id="518" w:name="_Toc222029542"/>
      <w:bookmarkStart w:id="519" w:name="_Toc256000250"/>
      <w:bookmarkStart w:id="520" w:name="_Toc511636039"/>
      <w:bookmarkStart w:id="521" w:name="_Toc256000179"/>
      <w:bookmarkStart w:id="522" w:name="_Toc6712"/>
      <w:bookmarkStart w:id="523" w:name="_Toc30208"/>
      <w:bookmarkStart w:id="524" w:name="_Toc515441179"/>
      <w:bookmarkStart w:id="525" w:name="_Toc7185624"/>
      <w:bookmarkStart w:id="526" w:name="_Toc15687"/>
      <w:bookmarkStart w:id="527" w:name="_Toc229305400"/>
      <w:bookmarkStart w:id="528" w:name="_Toc516816182"/>
      <w:bookmarkStart w:id="529" w:name="_Toc222031044"/>
      <w:bookmarkStart w:id="530" w:name="_Toc256000147"/>
      <w:bookmarkStart w:id="531" w:name="_Toc487489993"/>
      <w:bookmarkStart w:id="532" w:name="_Toc222033893"/>
      <w:bookmarkStart w:id="533" w:name="_Toc256000125"/>
      <w:bookmarkStart w:id="534" w:name="_Toc35605783"/>
      <w:r>
        <w:rPr>
          <w:rFonts w:hint="eastAsia" w:ascii="宋体" w:hAnsi="宋体" w:eastAsia="宋体" w:cs="Times New Roman"/>
          <w:b/>
          <w:bCs/>
          <w:color w:val="auto"/>
          <w:sz w:val="28"/>
          <w:szCs w:val="28"/>
          <w:highlight w:val="none"/>
        </w:rPr>
        <w:t>20 保险</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15C53BF">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535" w:name="_Toc511636040"/>
      <w:bookmarkStart w:id="536" w:name="_Toc221951321"/>
      <w:bookmarkStart w:id="537" w:name="_Toc262638040"/>
      <w:r>
        <w:rPr>
          <w:rFonts w:hint="eastAsia" w:ascii="宋体" w:hAnsi="宋体" w:eastAsia="宋体" w:cs="Times New Roman"/>
          <w:b/>
          <w:bCs/>
          <w:color w:val="auto"/>
          <w:sz w:val="28"/>
          <w:szCs w:val="28"/>
          <w:highlight w:val="none"/>
        </w:rPr>
        <w:t>20.1 工程保险</w:t>
      </w:r>
      <w:bookmarkEnd w:id="535"/>
      <w:bookmarkEnd w:id="536"/>
      <w:bookmarkEnd w:id="537"/>
    </w:p>
    <w:p w14:paraId="3D1E9A4A">
      <w:pPr>
        <w:widowControl/>
        <w:shd w:val="clear" w:color="auto" w:fill="FFFFFF"/>
        <w:snapToGrid w:val="0"/>
        <w:spacing w:line="520" w:lineRule="exact"/>
        <w:ind w:firstLine="420" w:firstLineChars="200"/>
        <w:rPr>
          <w:rFonts w:ascii="宋体" w:hAnsi="宋体" w:eastAsia="宋体" w:cs="Times New Roman"/>
          <w:color w:val="auto"/>
          <w:szCs w:val="21"/>
          <w:highlight w:val="none"/>
        </w:rPr>
      </w:pPr>
      <w:bookmarkStart w:id="538" w:name="_Toc221951323"/>
      <w:r>
        <w:rPr>
          <w:rFonts w:hint="eastAsia" w:ascii="宋体" w:hAnsi="宋体" w:eastAsia="宋体" w:cs="Times New Roman"/>
          <w:color w:val="auto"/>
          <w:szCs w:val="21"/>
          <w:highlight w:val="none"/>
        </w:rPr>
        <w:t>建筑工程一切险和（或）安装工程一切险投保人</w:t>
      </w:r>
      <w:r>
        <w:rPr>
          <w:rFonts w:hint="eastAsia" w:ascii="宋体" w:hAnsi="宋体" w:eastAsia="宋体" w:cs="Times New Roman"/>
          <w:color w:val="auto"/>
          <w:szCs w:val="21"/>
          <w:highlight w:val="none"/>
          <w:u w:val="single"/>
        </w:rPr>
        <w:t xml:space="preserve">   </w:t>
      </w:r>
      <w:r>
        <w:rPr>
          <w:rFonts w:hint="eastAsia" w:ascii="Times New Roman" w:hAnsi="Times New Roman" w:eastAsia="宋体" w:cs="Times New Roman"/>
          <w:b/>
          <w:bCs/>
          <w:color w:val="auto"/>
          <w:szCs w:val="22"/>
          <w:highlight w:val="none"/>
          <w:u w:val="single"/>
        </w:rPr>
        <w:t>由承包人支付，其费用含在报价中</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；投保内容：</w:t>
      </w:r>
      <w:r>
        <w:rPr>
          <w:rFonts w:hint="eastAsia" w:ascii="宋体" w:hAnsi="宋体" w:eastAsia="宋体" w:cs="Times New Roman"/>
          <w:color w:val="auto"/>
          <w:szCs w:val="21"/>
          <w:highlight w:val="none"/>
          <w:u w:val="single"/>
        </w:rPr>
        <w:t xml:space="preserve">    </w:t>
      </w:r>
      <w:r>
        <w:rPr>
          <w:rFonts w:hint="eastAsia" w:ascii="Times New Roman" w:hAnsi="Times New Roman" w:eastAsia="宋体" w:cs="Times New Roman"/>
          <w:b/>
          <w:bCs/>
          <w:color w:val="auto"/>
          <w:szCs w:val="22"/>
          <w:highlight w:val="none"/>
          <w:u w:val="single"/>
        </w:rPr>
        <w:t>为本合同工程的永久工程、临时工程和设备及已运至施工工地用于永久工程的材料和设备所投的保险</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；保险金额、保险费率和保险期限：</w:t>
      </w:r>
      <w:r>
        <w:rPr>
          <w:rFonts w:hint="eastAsia" w:ascii="宋体" w:hAnsi="宋体" w:eastAsia="宋体" w:cs="Times New Roman"/>
          <w:color w:val="auto"/>
          <w:szCs w:val="21"/>
          <w:highlight w:val="none"/>
          <w:u w:val="single"/>
        </w:rPr>
        <w:t xml:space="preserve"> / </w:t>
      </w:r>
      <w:r>
        <w:rPr>
          <w:rFonts w:hint="eastAsia" w:ascii="宋体" w:hAnsi="宋体" w:eastAsia="宋体" w:cs="Times New Roman"/>
          <w:color w:val="auto"/>
          <w:szCs w:val="21"/>
          <w:highlight w:val="none"/>
        </w:rPr>
        <w:t>。</w:t>
      </w:r>
    </w:p>
    <w:p w14:paraId="5B57211B">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539" w:name="_Toc511636041"/>
      <w:bookmarkStart w:id="540" w:name="_Toc262638041"/>
      <w:r>
        <w:rPr>
          <w:rFonts w:hint="eastAsia" w:ascii="宋体" w:hAnsi="宋体" w:eastAsia="宋体" w:cs="Times New Roman"/>
          <w:b/>
          <w:bCs/>
          <w:color w:val="auto"/>
          <w:sz w:val="28"/>
          <w:szCs w:val="28"/>
          <w:highlight w:val="none"/>
        </w:rPr>
        <w:t>20.4 第三者责任险</w:t>
      </w:r>
      <w:bookmarkEnd w:id="538"/>
      <w:bookmarkEnd w:id="539"/>
      <w:bookmarkEnd w:id="540"/>
    </w:p>
    <w:p w14:paraId="20617970">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541" w:name="_Toc221951325"/>
      <w:r>
        <w:rPr>
          <w:rFonts w:hint="eastAsia" w:ascii="宋体" w:hAnsi="宋体" w:eastAsia="宋体" w:cs="Times New Roman"/>
          <w:color w:val="auto"/>
          <w:szCs w:val="21"/>
          <w:highlight w:val="none"/>
        </w:rPr>
        <w:t>20.4.2 第三者责任险保险费率：</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lang w:val="zh-CN"/>
        </w:rPr>
        <w:t>承包人应对本工程施工范围内的</w:t>
      </w:r>
      <w:r>
        <w:rPr>
          <w:rFonts w:hint="eastAsia" w:ascii="宋体" w:hAnsi="宋体" w:eastAsia="宋体" w:cs="Times New Roman"/>
          <w:color w:val="auto"/>
          <w:szCs w:val="21"/>
          <w:highlight w:val="none"/>
          <w:u w:val="single"/>
        </w:rPr>
        <w:t>农民工工伤险和</w:t>
      </w:r>
      <w:r>
        <w:rPr>
          <w:rFonts w:hint="eastAsia" w:ascii="宋体" w:hAnsi="宋体" w:eastAsia="宋体" w:cs="Times New Roman"/>
          <w:color w:val="auto"/>
          <w:szCs w:val="21"/>
          <w:highlight w:val="none"/>
          <w:u w:val="single"/>
          <w:lang w:val="zh-CN"/>
        </w:rPr>
        <w:t>第三者损害等项目进行保险，其费用含在报价中（包括发包人与本工程有关的财产），其赔偿费用应包括赔偿费、诉讼费、律师代理费和其它有关费用</w:t>
      </w:r>
      <w:r>
        <w:rPr>
          <w:rFonts w:hint="eastAsia" w:ascii="宋体" w:hAnsi="宋体" w:eastAsia="宋体" w:cs="Times New Roman"/>
          <w:color w:val="auto"/>
          <w:szCs w:val="21"/>
          <w:highlight w:val="none"/>
        </w:rPr>
        <w:t>；第三者责任险保险金额：</w:t>
      </w:r>
      <w:r>
        <w:rPr>
          <w:rFonts w:hint="eastAsia" w:ascii="宋体" w:hAnsi="宋体" w:eastAsia="宋体" w:cs="Times New Roman"/>
          <w:color w:val="auto"/>
          <w:szCs w:val="21"/>
          <w:highlight w:val="none"/>
          <w:u w:val="single"/>
        </w:rPr>
        <w:t xml:space="preserve"> / </w:t>
      </w:r>
      <w:r>
        <w:rPr>
          <w:rFonts w:hint="eastAsia" w:ascii="宋体" w:hAnsi="宋体" w:eastAsia="宋体" w:cs="Times New Roman"/>
          <w:color w:val="auto"/>
          <w:szCs w:val="21"/>
          <w:highlight w:val="none"/>
        </w:rPr>
        <w:t xml:space="preserve">。 </w:t>
      </w:r>
    </w:p>
    <w:p w14:paraId="55C97227">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542" w:name="_Toc511636042"/>
      <w:bookmarkStart w:id="543" w:name="_Toc262638042"/>
      <w:r>
        <w:rPr>
          <w:rFonts w:hint="eastAsia" w:ascii="宋体" w:hAnsi="宋体" w:eastAsia="宋体" w:cs="Times New Roman"/>
          <w:b/>
          <w:bCs/>
          <w:color w:val="auto"/>
          <w:sz w:val="28"/>
          <w:szCs w:val="28"/>
          <w:highlight w:val="none"/>
        </w:rPr>
        <w:t>20.5 其他保险</w:t>
      </w:r>
      <w:bookmarkEnd w:id="541"/>
      <w:bookmarkEnd w:id="542"/>
      <w:bookmarkEnd w:id="543"/>
    </w:p>
    <w:p w14:paraId="1833F72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544" w:name="_Toc221951327"/>
      <w:r>
        <w:rPr>
          <w:rFonts w:hint="eastAsia" w:ascii="宋体" w:hAnsi="宋体" w:eastAsia="宋体" w:cs="Times New Roman"/>
          <w:color w:val="auto"/>
          <w:szCs w:val="21"/>
          <w:highlight w:val="none"/>
        </w:rPr>
        <w:t>需要投保的其他内容：</w:t>
      </w:r>
      <w:r>
        <w:rPr>
          <w:rFonts w:hint="eastAsia" w:ascii="宋体" w:hAnsi="宋体" w:eastAsia="宋体" w:cs="Times New Roman"/>
          <w:color w:val="auto"/>
          <w:szCs w:val="21"/>
          <w:highlight w:val="none"/>
          <w:u w:val="single"/>
        </w:rPr>
        <w:t>行政主管部门规定必须投保的和承包人认为必要的险种</w:t>
      </w:r>
      <w:r>
        <w:rPr>
          <w:rFonts w:hint="eastAsia" w:ascii="宋体" w:hAnsi="宋体" w:eastAsia="宋体" w:cs="Times New Roman"/>
          <w:color w:val="auto"/>
          <w:szCs w:val="21"/>
          <w:highlight w:val="none"/>
        </w:rPr>
        <w:t>。</w:t>
      </w:r>
    </w:p>
    <w:p w14:paraId="79E9A402">
      <w:pPr>
        <w:keepNext/>
        <w:keepLines/>
        <w:adjustRightInd w:val="0"/>
        <w:snapToGrid w:val="0"/>
        <w:spacing w:line="520" w:lineRule="exact"/>
        <w:outlineLvl w:val="3"/>
        <w:rPr>
          <w:rFonts w:ascii="宋体" w:hAnsi="宋体" w:eastAsia="宋体" w:cs="Times New Roman"/>
          <w:b/>
          <w:bCs/>
          <w:color w:val="auto"/>
          <w:sz w:val="28"/>
          <w:szCs w:val="28"/>
          <w:highlight w:val="none"/>
        </w:rPr>
      </w:pPr>
      <w:bookmarkStart w:id="545" w:name="_Toc511636043"/>
      <w:bookmarkStart w:id="546" w:name="_Toc262638043"/>
      <w:r>
        <w:rPr>
          <w:rFonts w:hint="eastAsia" w:ascii="宋体" w:hAnsi="宋体" w:eastAsia="宋体" w:cs="Times New Roman"/>
          <w:b/>
          <w:bCs/>
          <w:color w:val="auto"/>
          <w:sz w:val="28"/>
          <w:szCs w:val="28"/>
          <w:highlight w:val="none"/>
        </w:rPr>
        <w:t>20.6 对各项保险的一般要求</w:t>
      </w:r>
      <w:bookmarkEnd w:id="544"/>
      <w:bookmarkEnd w:id="545"/>
      <w:bookmarkEnd w:id="546"/>
    </w:p>
    <w:p w14:paraId="4BC91B33">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547" w:name="_Toc221951328"/>
      <w:r>
        <w:rPr>
          <w:rFonts w:ascii="宋体" w:hAnsi="宋体" w:eastAsia="宋体" w:cs="Times New Roman"/>
          <w:color w:val="auto"/>
          <w:szCs w:val="21"/>
          <w:highlight w:val="none"/>
        </w:rPr>
        <w:t>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 xml:space="preserve"> 保险凭证</w:t>
      </w:r>
      <w:bookmarkEnd w:id="547"/>
    </w:p>
    <w:p w14:paraId="63F6D081">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548" w:name="_Toc221951329"/>
      <w:r>
        <w:rPr>
          <w:rFonts w:hint="eastAsia" w:ascii="宋体" w:hAnsi="宋体" w:eastAsia="宋体" w:cs="Times New Roman"/>
          <w:color w:val="auto"/>
          <w:szCs w:val="21"/>
          <w:highlight w:val="none"/>
        </w:rPr>
        <w:t>承包人提交保险凭证的期限：</w:t>
      </w:r>
      <w:bookmarkEnd w:id="548"/>
      <w:r>
        <w:rPr>
          <w:rFonts w:hint="eastAsia" w:ascii="宋体" w:hAnsi="宋体" w:eastAsia="宋体" w:cs="Times New Roman"/>
          <w:color w:val="auto"/>
          <w:szCs w:val="21"/>
          <w:highlight w:val="none"/>
          <w:u w:val="single"/>
        </w:rPr>
        <w:t>承包人向发包人提交各项保险生效的证据和保险单副本的时间为投保后14个日历天内，保险单必须与专用合同条款约定的条件保持一致</w:t>
      </w:r>
      <w:bookmarkStart w:id="549" w:name="_Toc221951330"/>
      <w:r>
        <w:rPr>
          <w:rFonts w:hint="eastAsia" w:ascii="宋体" w:hAnsi="宋体" w:eastAsia="宋体" w:cs="Times New Roman"/>
          <w:color w:val="auto"/>
          <w:szCs w:val="21"/>
          <w:highlight w:val="none"/>
        </w:rPr>
        <w:t>。</w:t>
      </w:r>
      <w:bookmarkEnd w:id="549"/>
    </w:p>
    <w:p w14:paraId="7B16E02E">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bookmarkStart w:id="550" w:name="_Toc221951331"/>
      <w:r>
        <w:rPr>
          <w:rFonts w:ascii="宋体" w:hAnsi="宋体" w:eastAsia="宋体" w:cs="Times New Roman"/>
          <w:color w:val="auto"/>
          <w:szCs w:val="21"/>
          <w:highlight w:val="none"/>
        </w:rPr>
        <w:t>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 xml:space="preserve"> 保险金不足的补偿</w:t>
      </w:r>
      <w:bookmarkEnd w:id="550"/>
    </w:p>
    <w:p w14:paraId="5BF1AF96">
      <w:pPr>
        <w:keepNext/>
        <w:keepLines/>
        <w:adjustRightInd w:val="0"/>
        <w:snapToGrid w:val="0"/>
        <w:spacing w:line="520" w:lineRule="exact"/>
        <w:jc w:val="left"/>
        <w:outlineLvl w:val="2"/>
        <w:rPr>
          <w:rFonts w:hint="eastAsia" w:ascii="宋体" w:hAnsi="宋体" w:eastAsia="宋体" w:cs="宋体"/>
          <w:color w:val="auto"/>
          <w:szCs w:val="21"/>
          <w:highlight w:val="none"/>
          <w:lang w:bidi="ar"/>
        </w:rPr>
      </w:pPr>
      <w:bookmarkStart w:id="551" w:name="_Toc256000251"/>
      <w:bookmarkStart w:id="552" w:name="_Toc9990"/>
      <w:bookmarkStart w:id="553" w:name="_Toc256000180"/>
      <w:bookmarkStart w:id="554" w:name="_Toc7807"/>
      <w:bookmarkStart w:id="555" w:name="_Toc511636044"/>
      <w:bookmarkStart w:id="556" w:name="_Toc5190"/>
      <w:bookmarkStart w:id="557" w:name="_Toc35605784"/>
      <w:bookmarkStart w:id="558" w:name="_Toc487489994"/>
      <w:bookmarkStart w:id="559" w:name="_Toc256000148"/>
      <w:bookmarkStart w:id="560" w:name="_Toc222031045"/>
      <w:bookmarkStart w:id="561" w:name="_Toc222032712"/>
      <w:bookmarkStart w:id="562" w:name="_Toc221951334"/>
      <w:bookmarkStart w:id="563" w:name="_Toc222029543"/>
      <w:bookmarkStart w:id="564" w:name="_Toc229305401"/>
      <w:bookmarkStart w:id="565" w:name="_Toc515441180"/>
      <w:bookmarkStart w:id="566" w:name="_Toc222033894"/>
      <w:bookmarkStart w:id="567" w:name="_Toc7185625"/>
      <w:bookmarkStart w:id="568" w:name="_Toc256000126"/>
      <w:bookmarkStart w:id="569" w:name="_Toc516816183"/>
      <w:r>
        <w:rPr>
          <w:rFonts w:hint="eastAsia" w:ascii="宋体" w:hAnsi="宋体" w:eastAsia="宋体" w:cs="宋体"/>
          <w:color w:val="auto"/>
          <w:szCs w:val="21"/>
          <w:highlight w:val="none"/>
          <w:lang w:bidi="ar"/>
        </w:rPr>
        <w:t>修改为：</w:t>
      </w:r>
      <w:r>
        <w:rPr>
          <w:rFonts w:hint="eastAsia" w:ascii="宋体" w:hAnsi="宋体" w:eastAsia="宋体" w:cs="宋体"/>
          <w:color w:val="auto"/>
          <w:szCs w:val="21"/>
          <w:highlight w:val="none"/>
          <w:u w:val="single"/>
          <w:lang w:bidi="ar"/>
        </w:rPr>
        <w:t>保险金不足以补偿损失的，应由承包人负责赔偿</w:t>
      </w:r>
      <w:r>
        <w:rPr>
          <w:rFonts w:hint="eastAsia" w:ascii="宋体" w:hAnsi="宋体" w:eastAsia="宋体" w:cs="宋体"/>
          <w:color w:val="auto"/>
          <w:szCs w:val="21"/>
          <w:highlight w:val="none"/>
          <w:lang w:bidi="ar"/>
        </w:rPr>
        <w:t>。</w:t>
      </w:r>
      <w:bookmarkEnd w:id="551"/>
      <w:bookmarkEnd w:id="552"/>
      <w:bookmarkEnd w:id="553"/>
      <w:bookmarkEnd w:id="554"/>
    </w:p>
    <w:p w14:paraId="148B8422">
      <w:pPr>
        <w:keepNext/>
        <w:keepLines/>
        <w:spacing w:line="360" w:lineRule="auto"/>
        <w:ind w:firstLine="102" w:firstLineChars="49"/>
        <w:outlineLvl w:val="2"/>
        <w:rPr>
          <w:rFonts w:hint="eastAsia" w:ascii="宋体" w:hAnsi="宋体" w:eastAsia="宋体" w:cs="宋体"/>
          <w:bCs/>
          <w:color w:val="auto"/>
          <w:szCs w:val="21"/>
          <w:highlight w:val="none"/>
        </w:rPr>
      </w:pPr>
      <w:bookmarkStart w:id="570" w:name="_Toc256000181"/>
      <w:bookmarkStart w:id="571" w:name="_Toc256000252"/>
      <w:bookmarkStart w:id="572" w:name="_Toc18811"/>
      <w:bookmarkStart w:id="573" w:name="_Toc16859"/>
      <w:r>
        <w:rPr>
          <w:rFonts w:hint="eastAsia" w:ascii="宋体" w:hAnsi="宋体" w:eastAsia="宋体" w:cs="宋体"/>
          <w:bCs/>
          <w:color w:val="auto"/>
          <w:szCs w:val="21"/>
          <w:highlight w:val="none"/>
        </w:rPr>
        <w:t>20.6.5保险的延期</w:t>
      </w:r>
      <w:bookmarkEnd w:id="570"/>
      <w:bookmarkEnd w:id="571"/>
      <w:bookmarkEnd w:id="572"/>
      <w:bookmarkEnd w:id="573"/>
    </w:p>
    <w:p w14:paraId="409024B2">
      <w:pPr>
        <w:keepNext/>
        <w:keepLines/>
        <w:adjustRightInd w:val="0"/>
        <w:snapToGrid w:val="0"/>
        <w:spacing w:line="520" w:lineRule="exact"/>
        <w:ind w:firstLine="420" w:firstLineChars="200"/>
        <w:jc w:val="left"/>
        <w:outlineLvl w:val="2"/>
        <w:rPr>
          <w:rFonts w:hint="eastAsia" w:ascii="宋体" w:hAnsi="宋体" w:eastAsia="宋体" w:cs="宋体"/>
          <w:color w:val="auto"/>
          <w:szCs w:val="21"/>
          <w:highlight w:val="none"/>
          <w:u w:val="single"/>
        </w:rPr>
      </w:pPr>
      <w:bookmarkStart w:id="574" w:name="_Toc26509"/>
      <w:bookmarkStart w:id="575" w:name="_Toc29713"/>
      <w:bookmarkStart w:id="576" w:name="_Toc256000253"/>
      <w:bookmarkStart w:id="577" w:name="_Toc256000182"/>
      <w:r>
        <w:rPr>
          <w:rFonts w:hint="eastAsia" w:ascii="宋体" w:hAnsi="宋体" w:eastAsia="宋体" w:cs="宋体"/>
          <w:color w:val="auto"/>
          <w:szCs w:val="21"/>
          <w:highlight w:val="none"/>
          <w:u w:val="single"/>
        </w:rPr>
        <w:t>若因非承包人原因出现工程尚未完工但保险已过期的情况，承包人应主动续保，涉及费用由承包人承担。若承包人不主动续保，因保险过期各类损失无法得到保险赔偿，由此造成损失由承包人自行承担。</w:t>
      </w:r>
      <w:bookmarkEnd w:id="574"/>
      <w:bookmarkEnd w:id="575"/>
      <w:bookmarkEnd w:id="576"/>
      <w:bookmarkEnd w:id="577"/>
    </w:p>
    <w:p w14:paraId="050481CF">
      <w:pPr>
        <w:keepNext/>
        <w:keepLines/>
        <w:spacing w:line="440" w:lineRule="exact"/>
        <w:outlineLvl w:val="2"/>
        <w:rPr>
          <w:rFonts w:ascii="宋体" w:hAnsi="宋体" w:eastAsia="宋体" w:cs="Times New Roman"/>
          <w:b/>
          <w:bCs/>
          <w:color w:val="auto"/>
          <w:sz w:val="28"/>
          <w:szCs w:val="28"/>
          <w:highlight w:val="none"/>
        </w:rPr>
      </w:pPr>
      <w:bookmarkStart w:id="578" w:name="_Toc19187"/>
      <w:bookmarkStart w:id="579" w:name="_Toc256000183"/>
      <w:bookmarkStart w:id="580" w:name="_Toc256000254"/>
      <w:bookmarkStart w:id="581" w:name="_Toc16900"/>
      <w:bookmarkStart w:id="582" w:name="_Toc256000222"/>
      <w:bookmarkStart w:id="583" w:name="_Toc24012"/>
      <w:r>
        <w:rPr>
          <w:rFonts w:hint="eastAsia" w:ascii="宋体" w:hAnsi="宋体" w:eastAsia="宋体" w:cs="Times New Roman"/>
          <w:b/>
          <w:bCs/>
          <w:color w:val="auto"/>
          <w:sz w:val="28"/>
          <w:szCs w:val="28"/>
          <w:highlight w:val="none"/>
        </w:rPr>
        <w:t>22.违约</w:t>
      </w:r>
      <w:bookmarkEnd w:id="578"/>
      <w:bookmarkEnd w:id="579"/>
      <w:bookmarkEnd w:id="580"/>
      <w:bookmarkEnd w:id="581"/>
      <w:bookmarkEnd w:id="582"/>
      <w:bookmarkEnd w:id="583"/>
    </w:p>
    <w:p w14:paraId="2F05146F">
      <w:pPr>
        <w:keepNext/>
        <w:keepLines/>
        <w:spacing w:line="440" w:lineRule="exact"/>
        <w:outlineLvl w:val="2"/>
        <w:rPr>
          <w:rFonts w:ascii="宋体" w:hAnsi="宋体" w:eastAsia="宋体" w:cs="Times New Roman"/>
          <w:b/>
          <w:bCs/>
          <w:color w:val="auto"/>
          <w:sz w:val="28"/>
          <w:szCs w:val="28"/>
          <w:highlight w:val="none"/>
        </w:rPr>
      </w:pPr>
      <w:bookmarkStart w:id="584" w:name="_Toc256000184"/>
      <w:bookmarkStart w:id="585" w:name="_Toc22496"/>
      <w:bookmarkStart w:id="586" w:name="_Toc256000255"/>
      <w:bookmarkStart w:id="587" w:name="_Toc9306"/>
      <w:r>
        <w:rPr>
          <w:rFonts w:hint="eastAsia" w:ascii="宋体" w:hAnsi="宋体" w:eastAsia="宋体" w:cs="Times New Roman"/>
          <w:b/>
          <w:bCs/>
          <w:color w:val="auto"/>
          <w:sz w:val="28"/>
          <w:szCs w:val="28"/>
          <w:highlight w:val="none"/>
        </w:rPr>
        <w:t>22.1 承包人违约</w:t>
      </w:r>
      <w:bookmarkEnd w:id="584"/>
      <w:bookmarkEnd w:id="585"/>
      <w:bookmarkEnd w:id="586"/>
      <w:bookmarkEnd w:id="587"/>
    </w:p>
    <w:p w14:paraId="6FF36B05">
      <w:pPr>
        <w:tabs>
          <w:tab w:val="left" w:pos="700"/>
        </w:tabs>
        <w:adjustRightInd w:val="0"/>
        <w:snapToGrid w:val="0"/>
        <w:spacing w:line="440" w:lineRule="exact"/>
        <w:ind w:firstLine="420" w:firstLineChars="20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22.1.1承包人违约的情形的补充约定：</w:t>
      </w:r>
    </w:p>
    <w:p w14:paraId="54996C85">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（10）承包人在施工过程中擅自停工、窝工、施工缓慢或因承包人其他原因，致使合同约定的工期延误3个月及以上的；</w:t>
      </w:r>
    </w:p>
    <w:p w14:paraId="3CA6ED56">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（11）承包人发生挂靠、转包、违法分包施工任务的；</w:t>
      </w:r>
    </w:p>
    <w:p w14:paraId="2DCE25AF">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（12）发生重大质量安全事故的；</w:t>
      </w:r>
    </w:p>
    <w:p w14:paraId="7E27C10C">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（13）承包人不按法律、法规规定要求发放工人工资或因其造成工地工人群体上访恶性事件的；</w:t>
      </w:r>
    </w:p>
    <w:p w14:paraId="07B34FBB">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（14）承包人拒不履行投标承诺及合约职责与义务的；</w:t>
      </w:r>
    </w:p>
    <w:p w14:paraId="0B233F13">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（15）承包人有停业、倒闭、破产、注销或财务发生困难的情况或因其他因素使承包人不能履行合同责任的情况的；</w:t>
      </w:r>
    </w:p>
    <w:p w14:paraId="4758B1DE">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（16）除本合同约定解除及法定解除情形外，承包人无故单方解除合同的；</w:t>
      </w:r>
    </w:p>
    <w:p w14:paraId="194D19F6">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（17）在工程施工过程中及工程质量保修期内，由于承包人责任出现严重质量问题、安全事故或其他事项（如工人围堵主要干道等），受到政府有关部门的通报批评，致使本项目的社会形象受损的。</w:t>
      </w:r>
    </w:p>
    <w:p w14:paraId="06474CAF">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22.1.2 对承包人违约的处理</w:t>
      </w:r>
    </w:p>
    <w:p w14:paraId="72018D30">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本通用合同条款删除，修改为：承包人违约责任的约定：</w:t>
      </w:r>
    </w:p>
    <w:p w14:paraId="1B042268">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承包人具有通用条款22.1.1中的第（2）、（4）、（8）目和专用条款22.1.1中的（10）、（11）、（12）、（13）、（14）、（15）、（16）目约定的违约情况时，发包人有权单方解除合同，没收履约保证金或有权提取保函项下的金额。</w:t>
      </w:r>
    </w:p>
    <w:p w14:paraId="5F7907BB">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（2）承包人具有通用条款22.1.1中的第（5）目违约情形的，按本专用合同条款11.5之约定承担违约责任。</w:t>
      </w:r>
    </w:p>
    <w:p w14:paraId="26ED9E81">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（3）承包人发生第22.1.1（6）目约定的违约情况时，按照发包人要求中的未能通过完工的损害进行赔偿，同时处违约金1万元/次。发生延期的，承包人应承担延期责任。</w:t>
      </w:r>
    </w:p>
    <w:p w14:paraId="23E259DA">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（4）承包人具有通用条款22.1.1中的第（7）目违约情形的，按本合同专用条件第19.2之约定承担违约责任。</w:t>
      </w:r>
    </w:p>
    <w:p w14:paraId="69DF2FCA">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（5）承包人具有通用条款22.1.1中的第（17）目违约情形的，每发生一次处违约金10万元。 </w:t>
      </w:r>
    </w:p>
    <w:p w14:paraId="1D3A636C">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（6）因承包人原因违约造成发包人损失的，承包人所支付的违约金不足以赔偿由此造成发包人损失的，承包人仍应足额赔偿。</w:t>
      </w:r>
    </w:p>
    <w:p w14:paraId="0848DE93">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22.1.3因承包人违约解除合同</w:t>
      </w:r>
    </w:p>
    <w:p w14:paraId="400F7029">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发包人行使单方解除权的，本合同自承包人收到发包人解除合同通知时自动解除。承包人有异议的，应在收到解除通知之日起14个日历天内向本合同约定的管辖法院起诉确认解除合同的效力；承包人逾期未起诉的，视为认可解除合同的效力并放弃起诉权利，后续不得再起诉。</w:t>
      </w:r>
    </w:p>
    <w:p w14:paraId="190D2C4A">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解除后，承包人应在接到发包人通知后14个日历天内撤离现场，发包人派员进驻施工场地完成现场交接手续，发包人有权另行组织人员或委托其他承包人，由此产生的费用超过原承包人中标价部分由原承包人负责赔偿。发包人因继续完成该工程的需要，有权扣留使用承包人在现场的材料、设备和临时设施。但发包人的这一行动不免除承包人应承担的违约责任，也不影响发包人根据合同约定享有的索赔权利。</w:t>
      </w:r>
    </w:p>
    <w:p w14:paraId="1CC00C84">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如逾期仍未撤离完毕的，每逾期一天应向发包人支付违约金</w:t>
      </w:r>
      <w:r>
        <w:rPr>
          <w:rFonts w:ascii="宋体" w:hAnsi="宋体" w:eastAsia="宋体" w:cs="宋体"/>
          <w:color w:val="auto"/>
          <w:szCs w:val="21"/>
          <w:highlight w:val="none"/>
          <w:lang w:bidi="ar"/>
        </w:rPr>
        <w:t>5</w:t>
      </w:r>
      <w:r>
        <w:rPr>
          <w:rFonts w:hint="eastAsia" w:ascii="宋体" w:hAnsi="宋体" w:eastAsia="宋体" w:cs="宋体"/>
          <w:color w:val="auto"/>
          <w:szCs w:val="21"/>
          <w:highlight w:val="none"/>
          <w:lang w:bidi="ar"/>
        </w:rPr>
        <w:t>万元，同时发包人有权采取强制手段清理现场，为此发生的费用从未付合同价款中扣除，承包人无权进行财产索赔。</w:t>
      </w:r>
    </w:p>
    <w:p w14:paraId="59FA305B">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解除后，发包人及时组织相关责任单位进行工程质量验收和工程造价结算，承包人不配合结算的，发包人有权按现有材料自行提交给相关的审核单位，审核结论对双方均具有约束力。合同的解除并不解除承包人对已完工工程的质量责任和保修责任以及合同履行过程中的违约责任。</w:t>
      </w:r>
    </w:p>
    <w:p w14:paraId="00FFC997">
      <w:pPr>
        <w:adjustRightInd w:val="0"/>
        <w:snapToGrid w:val="0"/>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发包人有权从未支付的费用中直接扣除违约金、损害赔偿金，违约金、损害赔偿金不足以赔偿由此给发包人造成的损失（包括发包人对本项目重新进行招投标所产生的一切费用）的，承包人仍应予足额赔偿。</w:t>
      </w:r>
    </w:p>
    <w:p w14:paraId="3885835E">
      <w:pPr>
        <w:keepNext/>
        <w:keepLines/>
        <w:spacing w:line="440" w:lineRule="exact"/>
        <w:outlineLvl w:val="2"/>
        <w:rPr>
          <w:rFonts w:ascii="宋体" w:hAnsi="宋体" w:eastAsia="宋体" w:cs="Times New Roman"/>
          <w:b/>
          <w:bCs/>
          <w:color w:val="auto"/>
          <w:sz w:val="28"/>
          <w:szCs w:val="28"/>
          <w:highlight w:val="none"/>
        </w:rPr>
      </w:pPr>
      <w:bookmarkStart w:id="588" w:name="_Toc27386"/>
      <w:bookmarkStart w:id="589" w:name="_Toc256000256"/>
      <w:bookmarkStart w:id="590" w:name="_Toc31726"/>
      <w:bookmarkStart w:id="591" w:name="_Toc256000185"/>
      <w:r>
        <w:rPr>
          <w:rFonts w:hint="eastAsia" w:ascii="宋体" w:hAnsi="宋体" w:eastAsia="宋体" w:cs="Times New Roman"/>
          <w:b/>
          <w:bCs/>
          <w:color w:val="auto"/>
          <w:sz w:val="28"/>
          <w:szCs w:val="28"/>
          <w:highlight w:val="none"/>
        </w:rPr>
        <w:t>22.2 发包人违约</w:t>
      </w:r>
      <w:bookmarkEnd w:id="588"/>
      <w:bookmarkEnd w:id="589"/>
      <w:bookmarkEnd w:id="590"/>
      <w:bookmarkEnd w:id="591"/>
    </w:p>
    <w:p w14:paraId="0489C3E2">
      <w:pPr>
        <w:tabs>
          <w:tab w:val="left" w:pos="2212"/>
        </w:tabs>
        <w:spacing w:line="44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22.2.2 对发包人违约的处理</w:t>
      </w:r>
    </w:p>
    <w:p w14:paraId="531CE857">
      <w:pPr>
        <w:tabs>
          <w:tab w:val="left" w:pos="2212"/>
        </w:tabs>
        <w:spacing w:line="44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bidi="ar"/>
        </w:rPr>
        <w:t>发包人违约责任的约定：</w:t>
      </w:r>
      <w:r>
        <w:rPr>
          <w:rFonts w:hint="eastAsia" w:ascii="宋体" w:hAnsi="宋体" w:eastAsia="宋体" w:cs="宋体"/>
          <w:color w:val="auto"/>
          <w:szCs w:val="21"/>
          <w:highlight w:val="none"/>
          <w:u w:val="single"/>
          <w:lang w:bidi="ar"/>
        </w:rPr>
        <w:t>按通用合同条款执行</w:t>
      </w:r>
      <w:r>
        <w:rPr>
          <w:rFonts w:hint="eastAsia" w:ascii="宋体" w:hAnsi="宋体" w:eastAsia="宋体" w:cs="宋体"/>
          <w:color w:val="auto"/>
          <w:szCs w:val="21"/>
          <w:highlight w:val="none"/>
          <w:lang w:bidi="ar"/>
        </w:rPr>
        <w:t>。</w:t>
      </w:r>
    </w:p>
    <w:p w14:paraId="43DE7D55">
      <w:pPr>
        <w:keepNext/>
        <w:keepLines/>
        <w:spacing w:line="440" w:lineRule="exact"/>
        <w:outlineLvl w:val="2"/>
        <w:rPr>
          <w:rFonts w:ascii="宋体" w:hAnsi="宋体" w:eastAsia="宋体" w:cs="Times New Roman"/>
          <w:b/>
          <w:bCs/>
          <w:color w:val="auto"/>
          <w:sz w:val="28"/>
          <w:szCs w:val="28"/>
          <w:highlight w:val="none"/>
        </w:rPr>
      </w:pPr>
      <w:bookmarkStart w:id="592" w:name="_Toc256000186"/>
      <w:bookmarkStart w:id="593" w:name="_Toc256000257"/>
      <w:bookmarkStart w:id="594" w:name="_Toc7861"/>
      <w:bookmarkStart w:id="595" w:name="_Toc6047"/>
      <w:r>
        <w:rPr>
          <w:rFonts w:ascii="宋体" w:hAnsi="宋体" w:eastAsia="宋体" w:cs="Times New Roman"/>
          <w:b/>
          <w:bCs/>
          <w:color w:val="auto"/>
          <w:sz w:val="28"/>
          <w:szCs w:val="28"/>
          <w:highlight w:val="none"/>
        </w:rPr>
        <w:t>24</w:t>
      </w:r>
      <w:r>
        <w:rPr>
          <w:rFonts w:hint="eastAsia" w:ascii="宋体" w:hAnsi="宋体" w:eastAsia="宋体" w:cs="Times New Roman"/>
          <w:b/>
          <w:bCs/>
          <w:color w:val="auto"/>
          <w:sz w:val="28"/>
          <w:szCs w:val="28"/>
          <w:highlight w:val="none"/>
        </w:rPr>
        <w:t xml:space="preserve"> 争议的解决</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92"/>
      <w:bookmarkEnd w:id="593"/>
      <w:bookmarkEnd w:id="594"/>
      <w:bookmarkEnd w:id="595"/>
    </w:p>
    <w:p w14:paraId="07257DEA">
      <w:pPr>
        <w:keepNext/>
        <w:keepLines/>
        <w:spacing w:line="440" w:lineRule="exact"/>
        <w:outlineLvl w:val="2"/>
        <w:rPr>
          <w:rFonts w:ascii="宋体" w:hAnsi="宋体" w:eastAsia="宋体" w:cs="Times New Roman"/>
          <w:b/>
          <w:bCs/>
          <w:color w:val="auto"/>
          <w:sz w:val="28"/>
          <w:szCs w:val="28"/>
          <w:highlight w:val="none"/>
        </w:rPr>
      </w:pPr>
      <w:bookmarkStart w:id="596" w:name="_Toc262638045"/>
      <w:bookmarkStart w:id="597" w:name="_Toc29649"/>
      <w:bookmarkStart w:id="598" w:name="_Toc31549"/>
      <w:bookmarkStart w:id="599" w:name="_Toc511636045"/>
      <w:bookmarkStart w:id="600" w:name="_Toc256000187"/>
      <w:bookmarkStart w:id="601" w:name="_Toc256000258"/>
      <w:r>
        <w:rPr>
          <w:rFonts w:hint="eastAsia" w:ascii="宋体" w:hAnsi="宋体" w:eastAsia="宋体" w:cs="Times New Roman"/>
          <w:b/>
          <w:bCs/>
          <w:color w:val="auto"/>
          <w:sz w:val="28"/>
          <w:szCs w:val="28"/>
          <w:highlight w:val="none"/>
        </w:rPr>
        <w:t>24.1 争议的解决方式</w:t>
      </w:r>
      <w:bookmarkEnd w:id="596"/>
      <w:bookmarkEnd w:id="597"/>
      <w:bookmarkEnd w:id="598"/>
      <w:bookmarkEnd w:id="599"/>
      <w:bookmarkEnd w:id="600"/>
      <w:bookmarkEnd w:id="601"/>
    </w:p>
    <w:p w14:paraId="4306E90C">
      <w:pPr>
        <w:widowControl/>
        <w:shd w:val="clear" w:color="auto" w:fill="FFFFFF"/>
        <w:snapToGrid w:val="0"/>
        <w:spacing w:line="52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合同当事人友好协商解决不成、不愿提请争议评审或不接受争议评审组意见的，约定的合同争议解决方式：</w:t>
      </w:r>
      <w:r>
        <w:rPr>
          <w:rFonts w:hint="eastAsia" w:ascii="宋体" w:hAnsi="宋体" w:eastAsia="宋体" w:cs="Times New Roman"/>
          <w:color w:val="auto"/>
          <w:szCs w:val="22"/>
          <w:highlight w:val="none"/>
          <w:u w:val="single"/>
        </w:rPr>
        <w:t xml:space="preserve">任一方均有权向工程所在地有管辖权的人民法院起诉 </w:t>
      </w:r>
      <w:r>
        <w:rPr>
          <w:rFonts w:hint="eastAsia" w:ascii="宋体" w:hAnsi="宋体" w:eastAsia="宋体" w:cs="Times New Roman"/>
          <w:color w:val="auto"/>
          <w:szCs w:val="21"/>
          <w:highlight w:val="none"/>
        </w:rPr>
        <w:t>。</w:t>
      </w:r>
    </w:p>
    <w:p w14:paraId="5270C08E">
      <w:pPr>
        <w:spacing w:line="400" w:lineRule="exact"/>
        <w:rPr>
          <w:rFonts w:hint="eastAsia" w:ascii="宋体" w:hAnsi="宋体" w:eastAsia="宋体" w:cs="Times New Roman"/>
          <w:bCs/>
          <w:color w:val="auto"/>
          <w:sz w:val="32"/>
          <w:szCs w:val="22"/>
          <w:highlight w:val="none"/>
        </w:rPr>
      </w:pPr>
      <w:r>
        <w:rPr>
          <w:rFonts w:ascii="宋体" w:hAnsi="宋体" w:eastAsia="宋体" w:cs="Times New Roman"/>
          <w:b/>
          <w:color w:val="auto"/>
          <w:sz w:val="24"/>
          <w:szCs w:val="22"/>
          <w:highlight w:val="none"/>
        </w:rPr>
        <w:t>25</w:t>
      </w:r>
      <w:r>
        <w:rPr>
          <w:rFonts w:hint="eastAsia" w:ascii="宋体" w:hAnsi="宋体" w:eastAsia="宋体" w:cs="Times New Roman"/>
          <w:b/>
          <w:color w:val="auto"/>
          <w:sz w:val="24"/>
          <w:szCs w:val="22"/>
          <w:highlight w:val="none"/>
        </w:rPr>
        <w:t>　其他</w:t>
      </w:r>
      <w:r>
        <w:rPr>
          <w:rFonts w:hint="eastAsia" w:ascii="宋体" w:hAnsi="宋体" w:eastAsia="宋体" w:cs="Times New Roman"/>
          <w:color w:val="auto"/>
          <w:szCs w:val="22"/>
          <w:highlight w:val="none"/>
        </w:rPr>
        <w:t>　　　　　　　　　　　　　　　　　　　</w:t>
      </w:r>
    </w:p>
    <w:p w14:paraId="65A8575B">
      <w:pPr>
        <w:spacing w:line="400" w:lineRule="exact"/>
        <w:ind w:firstLine="365" w:firstLineChars="173"/>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25.1</w:t>
      </w:r>
      <w:r>
        <w:rPr>
          <w:rFonts w:hint="eastAsia" w:ascii="宋体" w:hAnsi="宋体" w:eastAsia="宋体" w:cs="宋体"/>
          <w:b/>
          <w:color w:val="auto"/>
          <w:kern w:val="0"/>
          <w:szCs w:val="21"/>
          <w:highlight w:val="none"/>
        </w:rPr>
        <w:t>承包人必须按法律、法规等要求处置建筑垃圾，不得与不具备资质的渣土企业签订运输合同。</w:t>
      </w:r>
    </w:p>
    <w:p w14:paraId="46A69AE0">
      <w:pPr>
        <w:spacing w:line="400" w:lineRule="exact"/>
        <w:ind w:firstLine="422" w:firstLineChars="200"/>
        <w:rPr>
          <w:rFonts w:ascii="宋体" w:hAnsi="宋体" w:eastAsia="宋体" w:cs="宋体"/>
          <w:b/>
          <w:color w:val="auto"/>
          <w:kern w:val="0"/>
          <w:szCs w:val="21"/>
          <w:highlight w:val="none"/>
        </w:rPr>
      </w:pPr>
      <w:r>
        <w:rPr>
          <w:rFonts w:hint="eastAsia" w:ascii="宋体" w:hAnsi="宋体" w:eastAsia="宋体" w:cs="Times New Roman"/>
          <w:b/>
          <w:color w:val="auto"/>
          <w:szCs w:val="21"/>
          <w:highlight w:val="none"/>
        </w:rPr>
        <w:t>25.2承包人拟派项目经理、项目技术负责人等主要管理人员需与投标承诺的人员相一致，不得擅自变更，管理事项按莆政综〔2020〕47号执行。无论任何原因更换项目经理，支付违约金5万元人民币/人次；无论任何原因更换项目技术负责人，支付违约金5万元人民币/人次；无论任何原因更换主要施工管理人员，支付违约金3万元人民币/人次，违约金上不封顶且承包人需承担上述违约给发包人造成的一切损失，承包人承担上述违约给发包人造成的一切损失。</w:t>
      </w:r>
    </w:p>
    <w:p w14:paraId="41E93304">
      <w:pPr>
        <w:spacing w:line="5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25.3</w:t>
      </w:r>
      <w:r>
        <w:rPr>
          <w:rFonts w:hint="eastAsia" w:ascii="宋体" w:hAnsi="宋体" w:eastAsia="宋体" w:cs="Times New Roman"/>
          <w:b/>
          <w:color w:val="auto"/>
          <w:szCs w:val="21"/>
          <w:highlight w:val="none"/>
        </w:rPr>
        <w:t>关于项目经理每月在施工现场的时间要求：项目经理及项目技术负责人每月在岗至少25天。项目经理、项目技术负责人不在岗每人每次罚款5000元人民币，项目经理/技术负责人之外的主要施工管理人员不在岗每人每次罚款5000元人民币，承包人应以现金或转账形式向发包人缴纳违约金，否则暂停支付工程款</w:t>
      </w:r>
      <w:r>
        <w:rPr>
          <w:rFonts w:hint="eastAsia" w:ascii="宋体" w:hAnsi="宋体" w:cs="Times New Roman"/>
          <w:b/>
          <w:color w:val="auto"/>
          <w:szCs w:val="21"/>
          <w:highlight w:val="none"/>
          <w:lang w:eastAsia="zh-CN"/>
        </w:rPr>
        <w:t>，并从工程款中扣除</w:t>
      </w:r>
      <w:r>
        <w:rPr>
          <w:rFonts w:hint="eastAsia" w:ascii="宋体" w:hAnsi="宋体" w:eastAsia="宋体" w:cs="Times New Roman"/>
          <w:b/>
          <w:color w:val="auto"/>
          <w:szCs w:val="21"/>
          <w:highlight w:val="none"/>
        </w:rPr>
        <w:t>。若发现项目经理、项目技术负责人未经批准不在岗人次一个月内累计超过</w:t>
      </w:r>
      <w:r>
        <w:rPr>
          <w:rFonts w:hint="eastAsia" w:ascii="宋体" w:hAnsi="宋体" w:cs="Times New Roman"/>
          <w:b/>
          <w:color w:val="auto"/>
          <w:szCs w:val="21"/>
          <w:highlight w:val="none"/>
          <w:lang w:val="en-US" w:eastAsia="zh-CN"/>
        </w:rPr>
        <w:t>3</w:t>
      </w:r>
      <w:r>
        <w:rPr>
          <w:rFonts w:hint="eastAsia" w:ascii="宋体" w:hAnsi="宋体" w:eastAsia="宋体" w:cs="Times New Roman"/>
          <w:b/>
          <w:color w:val="auto"/>
          <w:szCs w:val="21"/>
          <w:highlight w:val="none"/>
        </w:rPr>
        <w:t>人次（包括</w:t>
      </w:r>
      <w:r>
        <w:rPr>
          <w:rFonts w:hint="eastAsia" w:ascii="宋体" w:hAnsi="宋体" w:cs="Times New Roman"/>
          <w:b/>
          <w:color w:val="auto"/>
          <w:szCs w:val="21"/>
          <w:highlight w:val="none"/>
          <w:lang w:val="en-US" w:eastAsia="zh-CN"/>
        </w:rPr>
        <w:t>3</w:t>
      </w:r>
      <w:r>
        <w:rPr>
          <w:rFonts w:hint="eastAsia" w:ascii="宋体" w:hAnsi="宋体" w:eastAsia="宋体" w:cs="Times New Roman"/>
          <w:b/>
          <w:color w:val="auto"/>
          <w:szCs w:val="21"/>
          <w:highlight w:val="none"/>
        </w:rPr>
        <w:t>人次），发包人有权没收履约保证金并单方解除建设工程合同且有权要求承包人按照合同总价的30%支付违约金，由此给发包人造成的其他损失概由承包人负责赔偿。</w:t>
      </w:r>
    </w:p>
    <w:p w14:paraId="32D7FB3A">
      <w:pPr>
        <w:spacing w:line="5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承包人主要施工管理人员离开施工现场的批准要求：经监理人及发包单位现场代表书面</w:t>
      </w:r>
      <w:r>
        <w:rPr>
          <w:rFonts w:hint="eastAsia" w:ascii="宋体" w:hAnsi="宋体" w:eastAsia="宋体" w:cs="Times New Roman"/>
          <w:b/>
          <w:color w:val="auto"/>
          <w:szCs w:val="21"/>
          <w:highlight w:val="none"/>
          <w:lang w:eastAsia="zh-CN"/>
        </w:rPr>
        <w:t>或监管系统</w:t>
      </w:r>
      <w:r>
        <w:rPr>
          <w:rFonts w:hint="eastAsia" w:ascii="宋体" w:hAnsi="宋体" w:eastAsia="宋体" w:cs="Times New Roman"/>
          <w:b/>
          <w:color w:val="auto"/>
          <w:szCs w:val="21"/>
          <w:highlight w:val="none"/>
        </w:rPr>
        <w:t>同意，每月累计不在岗的时间不超过5天；发包人、监理人或相关行政部门检查时，若发现项目管理人员不在岗且经通知不能在发包人要求的时间内到达现场的承包人,除罚没相关人员不在岗的罚金外，应再向发包人支付每人每次2000元的违约金，若发现项目管理人员不在岗且经通知不能在发包人要求的时间内到达现场的承包人应向发包人支付每人每次2000元的违约金。</w:t>
      </w:r>
    </w:p>
    <w:p w14:paraId="45B73118">
      <w:pPr>
        <w:spacing w:line="400" w:lineRule="exact"/>
        <w:ind w:right="10" w:rightChars="5"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25.4发包人有权根据项目情况或主管部门要求发出整改通知书，承包人须无条件履行，并在发包人要求的时限内开展、完成整改工作。一次不履行或未按时履行的，承包人按每逾期一天</w:t>
      </w:r>
      <w:r>
        <w:rPr>
          <w:rFonts w:hint="eastAsia" w:ascii="宋体" w:hAnsi="宋体" w:cs="Times New Roman"/>
          <w:b/>
          <w:color w:val="auto"/>
          <w:szCs w:val="21"/>
          <w:highlight w:val="none"/>
          <w:lang w:val="en-US" w:eastAsia="zh-CN"/>
        </w:rPr>
        <w:t>5000</w:t>
      </w:r>
      <w:r>
        <w:rPr>
          <w:rFonts w:hint="eastAsia" w:ascii="宋体" w:hAnsi="宋体" w:eastAsia="宋体" w:cs="Times New Roman"/>
          <w:b/>
          <w:color w:val="auto"/>
          <w:szCs w:val="21"/>
          <w:highlight w:val="none"/>
        </w:rPr>
        <w:t>元要求支付违约金。若整改后再次出现该整改情况现场发现之日起按每天</w:t>
      </w:r>
      <w:r>
        <w:rPr>
          <w:rFonts w:hint="eastAsia" w:ascii="宋体" w:hAnsi="宋体" w:cs="Times New Roman"/>
          <w:b/>
          <w:color w:val="auto"/>
          <w:szCs w:val="21"/>
          <w:highlight w:val="none"/>
          <w:lang w:val="en-US" w:eastAsia="zh-CN"/>
        </w:rPr>
        <w:t>5000</w:t>
      </w:r>
      <w:r>
        <w:rPr>
          <w:rFonts w:hint="eastAsia" w:ascii="宋体" w:hAnsi="宋体" w:eastAsia="宋体" w:cs="Times New Roman"/>
          <w:b/>
          <w:color w:val="auto"/>
          <w:szCs w:val="21"/>
          <w:highlight w:val="none"/>
        </w:rPr>
        <w:t>元要求支付违约金直至再次整改完成。</w:t>
      </w:r>
    </w:p>
    <w:p w14:paraId="2A849A97">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25.5承包人必须安全文明施工，若发现存在安全文明施工的问题，发包人以书面形式通知承包人限期整改，如未及时整改，发包人有权要求支付违约金2000元/次。安全生产措施费按闽水函【2022】128号文《福建省水利厅关于做好全省水利工程建设安全生产费用提取和使用管理工作的通知》执行 。若有新文件则按最新文件规定执行。</w:t>
      </w:r>
    </w:p>
    <w:p w14:paraId="53239920">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25.6承包人现场施工时应自行踏勘现场，负责做好施工场地周围建筑物、构筑物及地下管线等保护，承包人原因引起损坏的，其全部责任和损失由承包人自行承担。</w:t>
      </w:r>
    </w:p>
    <w:p w14:paraId="473BF968">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25.7承包人如果履约担保采用非现金（转账）形式缴纳，发包人则不支付10％的工程预付款。办理银行保函所需的一切费用由承包人自理。</w:t>
      </w:r>
    </w:p>
    <w:p w14:paraId="05A5ED82">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25.8履约保证金的有效期应当截止到工程承包合同规定的工程完工验收合格之日。承包人完成施工合同约定的施工项目并通过完工质量验收后，凭工程质量验收合格证明申请无息返回履约保证金。</w:t>
      </w:r>
    </w:p>
    <w:p w14:paraId="42FAEFFE">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25.9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65EC8288">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25.10须由承包人投保建筑工程一切险及第三方责任险，费用由承包人承担，并报发包人备案，否则因此产生的一切纠纷、责任及后果由承包人承担，发包人不承担任何责任。</w:t>
      </w:r>
    </w:p>
    <w:p w14:paraId="77C7026F">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25.11承包人必须按照施工图、工程预算书（审）及编制说明、发包人及相关法律法规要求等进行施工作业，未满足要求所造成的一切后果由承包人承担。中标通知书发出后一个月内，发包人或承包人发现工程量清单中仍存在重大漏项（增项）或数量偏差的，可以进行核对，超过一个月的，发包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需要减少或增加工程量的，由发包人会同承包人向财政部门（或第三方咨询机构）提出调整，财政部门（或第三方咨询机构）按规定给予受理后审核、调整确定。 </w:t>
      </w:r>
    </w:p>
    <w:p w14:paraId="1B46D349">
      <w:pPr>
        <w:spacing w:line="400" w:lineRule="exact"/>
        <w:ind w:right="10" w:rightChars="5"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25.12本工程竣工结算应提交财政部门（或第三方咨询机构）进行审核，审核期限以相关部门出具审核结论的时间为准，并以该审核结论作为最终结算依据。若审计部门对项目进行审计的，承包人应当无条件配合审计工作，竣工结算价经发包人和承包人确认后以审计部门审计结论作为最终依据，已拨付结算款承包人要多还少补。</w:t>
      </w:r>
    </w:p>
    <w:p w14:paraId="56647E0B">
      <w:pPr>
        <w:spacing w:line="400" w:lineRule="exact"/>
        <w:ind w:right="10" w:rightChars="5" w:firstLine="422" w:firstLineChars="20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25.13其他标后管理事项按莆政综〔2020〕47号执行，若后续莆田市出台相关标后管理的最新规定，则按新规定执行。</w:t>
      </w:r>
    </w:p>
    <w:bookmarkEnd w:id="31"/>
    <w:p w14:paraId="7BC82A87">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25.1</w:t>
      </w:r>
      <w:bookmarkStart w:id="602" w:name="EB2f1dc184009a42539dd34d90374a6910_0"/>
      <w:r>
        <w:rPr>
          <w:rFonts w:hint="eastAsia" w:ascii="宋体" w:hAnsi="宋体" w:eastAsia="宋体" w:cs="Times New Roman"/>
          <w:b/>
          <w:color w:val="auto"/>
          <w:szCs w:val="21"/>
          <w:highlight w:val="none"/>
        </w:rPr>
        <w:t>4</w:t>
      </w:r>
      <w:bookmarkEnd w:id="602"/>
      <w:r>
        <w:rPr>
          <w:rFonts w:hint="eastAsia" w:ascii="宋体" w:hAnsi="宋体" w:eastAsia="宋体" w:cs="Times New Roman"/>
          <w:b/>
          <w:color w:val="auto"/>
          <w:szCs w:val="21"/>
          <w:highlight w:val="none"/>
        </w:rPr>
        <w:t>本工程所发生的全部工程款项，承包人应向发包人申请支付工程款应随附相应金额合法有效的增值税发票，若开具的增值税专用发票的税率应和第三方结算审核套用的税率一致，如有差异</w:t>
      </w:r>
      <w:r>
        <w:rPr>
          <w:rFonts w:hint="eastAsia" w:ascii="宋体" w:hAnsi="宋体" w:eastAsia="宋体" w:cs="Times New Roman"/>
          <w:b/>
          <w:color w:val="auto"/>
          <w:szCs w:val="21"/>
          <w:highlight w:val="none"/>
          <w:lang w:eastAsia="zh-Hans"/>
        </w:rPr>
        <w:t>则发包人有权</w:t>
      </w:r>
      <w:r>
        <w:rPr>
          <w:rFonts w:hint="eastAsia" w:ascii="宋体" w:hAnsi="宋体" w:eastAsia="宋体" w:cs="Times New Roman"/>
          <w:b/>
          <w:color w:val="auto"/>
          <w:szCs w:val="21"/>
          <w:highlight w:val="none"/>
        </w:rPr>
        <w:t>按税率差异额及相应附加税费</w:t>
      </w:r>
      <w:r>
        <w:rPr>
          <w:rFonts w:hint="eastAsia" w:ascii="宋体" w:hAnsi="宋体" w:eastAsia="宋体" w:cs="Times New Roman"/>
          <w:b/>
          <w:color w:val="auto"/>
          <w:szCs w:val="21"/>
          <w:highlight w:val="none"/>
          <w:lang w:eastAsia="zh-Hans"/>
        </w:rPr>
        <w:t>在第三方审核的工程总造价中工程款予以直接</w:t>
      </w:r>
      <w:r>
        <w:rPr>
          <w:rFonts w:hint="eastAsia" w:ascii="宋体" w:hAnsi="宋体" w:eastAsia="宋体" w:cs="Times New Roman"/>
          <w:b/>
          <w:color w:val="auto"/>
          <w:szCs w:val="21"/>
          <w:highlight w:val="none"/>
        </w:rPr>
        <w:t>扣减。</w:t>
      </w:r>
    </w:p>
    <w:p w14:paraId="1335A2AA">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25.15本工程为固定总价方式承包，发生下属情况下合同总价不予调整：①工程量清单核对澄清之后，仍有错、漏，导致工程预算价不准确的；②市场变化、政策性调整导致主要材料（设备）价格与编制预算价时采用的信息价相比，上涨或下跌幅度在10%以内（含10%）的；③施工期间除主要材料以外的其他材料价格变化的;④天气、地形、地质等自然条件变化而采取临时措施的。</w:t>
      </w:r>
    </w:p>
    <w:p w14:paraId="33CC6911">
      <w:pPr>
        <w:spacing w:line="400" w:lineRule="exact"/>
        <w:ind w:right="10" w:rightChars="5"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25.16本工程为固定总价方式承包，有下列情形之一的,可以调整合同价:①地质变化、非承包人原因的设计变更引起工程量增减的②市场变化、政策性调整导致钢筋、水泥(非商品砼用）、商品砼主要材料价格涨跌超过10%的。</w:t>
      </w:r>
    </w:p>
    <w:p w14:paraId="1B4FA881">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25.17若承包人存在违反禁止分包、转包、挂靠情形，则发包人有权单方解除合同并要求承包人承担违约责任，并赔偿一切损失（包括但不限于律师费、诉讼费、保全费、保全保险费等）。若发包人在工程</w:t>
      </w:r>
      <w:r>
        <w:rPr>
          <w:rFonts w:hint="eastAsia" w:ascii="宋体" w:hAnsi="宋体" w:eastAsia="宋体" w:cs="Times New Roman"/>
          <w:b/>
          <w:color w:val="auto"/>
          <w:szCs w:val="21"/>
          <w:highlight w:val="none"/>
        </w:rPr>
        <w:t>完工</w:t>
      </w:r>
      <w:r>
        <w:rPr>
          <w:rFonts w:hint="eastAsia" w:ascii="宋体" w:hAnsi="宋体" w:eastAsia="宋体" w:cs="Times New Roman"/>
          <w:b/>
          <w:color w:val="auto"/>
          <w:szCs w:val="21"/>
          <w:highlight w:val="none"/>
        </w:rPr>
        <w:t>验收后，发现承包人存在违法分包、转包、挂靠等情形，发包人有权暂停向承包人支付工程款，同时保留追究承包人的违约责任。</w:t>
      </w:r>
    </w:p>
    <w:p w14:paraId="4A9AC87E">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25.18本项目发包人可能因建设需要对项目进行调整，承包人不得以此为理由停止施工。</w:t>
      </w:r>
    </w:p>
    <w:p w14:paraId="300425C0">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25.19</w:t>
      </w:r>
      <w:r>
        <w:rPr>
          <w:rFonts w:ascii="宋体" w:hAnsi="宋体" w:eastAsia="宋体" w:cs="Times New Roman"/>
          <w:b/>
          <w:color w:val="auto"/>
          <w:szCs w:val="21"/>
          <w:highlight w:val="none"/>
        </w:rPr>
        <w:t xml:space="preserve"> 施工过程中土方余方归属发包人，承包方应按发包人要求堆放在指定地点，承包人不得擅自处理余土，违者造成的发包人损失由承包人承担，发包人有权从工程款中直接抵扣其造成的损失费用。</w:t>
      </w:r>
    </w:p>
    <w:p w14:paraId="4EF79A66">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25.20</w:t>
      </w:r>
      <w:r>
        <w:rPr>
          <w:rFonts w:ascii="宋体" w:hAnsi="宋体" w:eastAsia="宋体" w:cs="Times New Roman"/>
          <w:b/>
          <w:color w:val="auto"/>
          <w:szCs w:val="21"/>
          <w:highlight w:val="none"/>
        </w:rPr>
        <w:t xml:space="preserve"> 施工过程中非建设单位的原因引起的进度延误，承包方实际完成进度与施工计划进度延误10%以上的，建设单位有权扣减应付的工程进度款的10%，直至实际完成进度赶上计划进度才予以补回扣减的进度款。</w:t>
      </w:r>
    </w:p>
    <w:p w14:paraId="441A11B0">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25.21</w:t>
      </w:r>
      <w:r>
        <w:rPr>
          <w:rFonts w:ascii="宋体" w:hAnsi="宋体" w:eastAsia="宋体" w:cs="Times New Roman"/>
          <w:b/>
          <w:color w:val="auto"/>
          <w:szCs w:val="21"/>
          <w:highlight w:val="none"/>
        </w:rPr>
        <w:t>承包人违约清场机制：</w:t>
      </w:r>
    </w:p>
    <w:p w14:paraId="52EA15F4">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（一）施工单位发生挂靠、转包、违法分包施工任务、计划工期进度延误1个月或发生重大质量安全事故的；</w:t>
      </w:r>
    </w:p>
    <w:p w14:paraId="2F3FA250">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（二）施工单位不按法律、法规规定要求发放工人工资或因其造成工地工人群体上访恶性事件的；</w:t>
      </w:r>
    </w:p>
    <w:p w14:paraId="729AB686">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 xml:space="preserve"> （三）施工单位拒不履行投标承诺及合约职责与义务的。</w:t>
      </w:r>
    </w:p>
    <w:p w14:paraId="32760606">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 xml:space="preserve"> 当施工单位发生上述违约行为之一时，履约保证金不予退还，建设单位应责成施工单位清场退出施工现场，及时组织相关责任单位进行工程质量验收和工程造价清算。余下的工程量由建设单位重新招标确定施工单位，由此产生的费用超过原施工单位中标价部分由原施工单位负责赔偿，并及时把处理结果以书面形式向相关行政监督部门报告，由市级以上行政监督部门依法依规对严重违约的施工单位进行处理。</w:t>
      </w:r>
    </w:p>
    <w:p w14:paraId="0DA2026C">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25.22</w:t>
      </w:r>
      <w:r>
        <w:rPr>
          <w:rFonts w:ascii="宋体" w:hAnsi="宋体" w:eastAsia="宋体" w:cs="Times New Roman"/>
          <w:b/>
          <w:color w:val="auto"/>
          <w:szCs w:val="21"/>
          <w:highlight w:val="none"/>
        </w:rPr>
        <w:t>未经发包人书面确认的监理单位中间签证不能作为增加费用的依据。</w:t>
      </w:r>
    </w:p>
    <w:p w14:paraId="56592A5F">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25.23</w:t>
      </w:r>
      <w:r>
        <w:rPr>
          <w:rFonts w:ascii="宋体" w:hAnsi="宋体" w:eastAsia="宋体" w:cs="Times New Roman"/>
          <w:b/>
          <w:color w:val="auto"/>
          <w:szCs w:val="21"/>
          <w:highlight w:val="none"/>
        </w:rPr>
        <w:t>发包人有权根据项目的实际情况对工程量及承包范围作相应调整，承包人不得以此提出索赔。</w:t>
      </w:r>
    </w:p>
    <w:p w14:paraId="6674B994">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25.24本项目分段实施或项目进度有要求时，承包人应根据相关主管部门、发包人要求无条件增加施工人员、材料及机械等投入并满足发包人分段实施或项目进度的赶工要求，发包人不另行支付费用。承包人不履行以上约定的，发包人有权取消其中标资格，不予退还履约保证金。</w:t>
      </w:r>
    </w:p>
    <w:p w14:paraId="4E615D56">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25.25本工程采用总价合同方式，承包人在计算报价时应根据工程大小、技术复杂程度、施工难易程度、施工自然条件及工期长短，充分考虑与工程货物供应商配合费、政策性调价、预算定额更新、材料（含成品、半成品）二次运输、赶工措施费、增加夜间照明、增加模板投入、增加砼早强剂、增加施工人员投入、增加施工机械设备投入、临时便道工程量增减、建筑垃圾处理费、渣土受纳费、排污费及环保噪音费及除战争和烈度7度及以上地震以外的可能发生的一切风险因素及一切措施费用自行计算一定的风险系数计入投标报价中，中标后不得调整价格。</w:t>
      </w:r>
    </w:p>
    <w:p w14:paraId="3BFA28D3">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25.26配合发包人迎接季节性突击、领导视察、大型活动等所需的养清洁工作(发包人要求增加的不属于合同范围的工程量除外)。</w:t>
      </w:r>
    </w:p>
    <w:p w14:paraId="7E913E1F">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25.27本项目如有停水、停电均由承包人自备设施自行解决，发包人不承担连续8小时内停水、停电造成的工期延误气费用赔付。</w:t>
      </w:r>
    </w:p>
    <w:p w14:paraId="63E06AB8">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25.28施工过程中，若遇到与其他施工项目交叉施工，承包人应与其他施工项目的施工队伍相互协调、相互配合施工，对其他施工队伍故意刁难不予配合的，若造成损坏，承包人应负责修复或赔偿损失，该损失以现金方式缴交。</w:t>
      </w:r>
    </w:p>
    <w:p w14:paraId="0819DBBB">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25.29承包人需自行踏勘现场后自行考虑取、弃土点运距报价，中标后不予调整。本工程土方由中标人自行解决，施工过程中若招标人或区管委会有关部门有指定弃土点，即实际弃土点位置以招标人或区管委会有关部门确定的位置为准，投标人应综合考虑弃土点运距报价，不得以财政预算审核单价所考虑的运距与招标人或区管委会有关部门指定弃土点运距不符为由要求调整单价。</w:t>
      </w:r>
    </w:p>
    <w:p w14:paraId="11902999">
      <w:pPr>
        <w:widowControl/>
        <w:shd w:val="clear" w:color="auto" w:fill="FFFFFF"/>
        <w:snapToGrid w:val="0"/>
        <w:spacing w:line="520" w:lineRule="exact"/>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25.30承包人在进场后须按照有关规定办理相关证件及手续，由此导致的费用增加、工期延误及责任由承包人自行承担。</w:t>
      </w:r>
    </w:p>
    <w:p w14:paraId="61327881">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25.31承包人</w:t>
      </w:r>
      <w:r>
        <w:rPr>
          <w:rFonts w:ascii="宋体" w:hAnsi="宋体" w:eastAsia="宋体" w:cs="Times New Roman"/>
          <w:b/>
          <w:color w:val="auto"/>
          <w:szCs w:val="21"/>
          <w:highlight w:val="none"/>
        </w:rPr>
        <w:t>在领取中标通知书之日起</w:t>
      </w:r>
      <w:r>
        <w:rPr>
          <w:rFonts w:hint="eastAsia" w:ascii="宋体" w:hAnsi="宋体" w:eastAsia="宋体" w:cs="Times New Roman"/>
          <w:b/>
          <w:color w:val="auto"/>
          <w:szCs w:val="21"/>
          <w:highlight w:val="none"/>
        </w:rPr>
        <w:t>7天</w:t>
      </w:r>
      <w:r>
        <w:rPr>
          <w:rFonts w:ascii="宋体" w:hAnsi="宋体" w:eastAsia="宋体" w:cs="Times New Roman"/>
          <w:b/>
          <w:color w:val="auto"/>
          <w:szCs w:val="21"/>
          <w:highlight w:val="none"/>
        </w:rPr>
        <w:t>内未</w:t>
      </w:r>
      <w:r>
        <w:rPr>
          <w:rFonts w:hint="eastAsia" w:ascii="宋体" w:hAnsi="宋体" w:eastAsia="宋体" w:cs="Times New Roman"/>
          <w:b/>
          <w:color w:val="auto"/>
          <w:szCs w:val="21"/>
          <w:highlight w:val="none"/>
        </w:rPr>
        <w:t>向发包人</w:t>
      </w:r>
      <w:r>
        <w:rPr>
          <w:rFonts w:ascii="宋体" w:hAnsi="宋体" w:eastAsia="宋体" w:cs="Times New Roman"/>
          <w:b/>
          <w:color w:val="auto"/>
          <w:szCs w:val="21"/>
          <w:highlight w:val="none"/>
        </w:rPr>
        <w:t>提交履约保证金</w:t>
      </w:r>
      <w:r>
        <w:rPr>
          <w:rFonts w:hint="eastAsia" w:ascii="宋体" w:hAnsi="宋体" w:eastAsia="宋体" w:cs="Times New Roman"/>
          <w:b/>
          <w:color w:val="auto"/>
          <w:szCs w:val="21"/>
          <w:highlight w:val="none"/>
        </w:rPr>
        <w:t>并</w:t>
      </w:r>
      <w:r>
        <w:rPr>
          <w:rFonts w:ascii="宋体" w:hAnsi="宋体" w:eastAsia="宋体" w:cs="Times New Roman"/>
          <w:b/>
          <w:color w:val="auto"/>
          <w:szCs w:val="21"/>
          <w:highlight w:val="none"/>
        </w:rPr>
        <w:t>签订合同的，</w:t>
      </w:r>
      <w:r>
        <w:rPr>
          <w:rFonts w:hint="eastAsia" w:ascii="宋体" w:hAnsi="宋体" w:eastAsia="宋体" w:cs="Times New Roman"/>
          <w:b/>
          <w:color w:val="auto"/>
          <w:szCs w:val="21"/>
          <w:highlight w:val="none"/>
        </w:rPr>
        <w:t>发包人</w:t>
      </w:r>
      <w:r>
        <w:rPr>
          <w:rFonts w:ascii="宋体" w:hAnsi="宋体" w:eastAsia="宋体" w:cs="Times New Roman"/>
          <w:b/>
          <w:color w:val="auto"/>
          <w:szCs w:val="21"/>
          <w:highlight w:val="none"/>
        </w:rPr>
        <w:t>有权取消其中标资格，没收投标保证金。</w:t>
      </w:r>
      <w:r>
        <w:rPr>
          <w:rFonts w:hint="eastAsia" w:ascii="宋体" w:hAnsi="宋体" w:eastAsia="宋体" w:cs="Times New Roman"/>
          <w:b/>
          <w:color w:val="auto"/>
          <w:szCs w:val="21"/>
          <w:highlight w:val="none"/>
        </w:rPr>
        <w:t>本条款与招标文件其他条款有不一致的，以本条款为准。</w:t>
      </w:r>
    </w:p>
    <w:p w14:paraId="72601663">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25.32考虑到本项目的重要性和工期的紧迫性，承包人应在签订施工合同后7天内进场，未按规定时间进场的，发包人有权取消其中标资格、解除本合同，并没收履约保证金，发包人可进行重新招投标，同时由此造成的一切损失与责任由原承包人全部承担。</w:t>
      </w:r>
    </w:p>
    <w:p w14:paraId="15A458AC">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25.34</w:t>
      </w:r>
      <w:r>
        <w:rPr>
          <w:rFonts w:ascii="宋体" w:hAnsi="宋体" w:eastAsia="宋体" w:cs="Times New Roman"/>
          <w:b/>
          <w:color w:val="auto"/>
          <w:szCs w:val="21"/>
          <w:highlight w:val="none"/>
        </w:rPr>
        <w:t>绿化养护期内双方责任约定：</w:t>
      </w:r>
    </w:p>
    <w:p w14:paraId="1DE5AE8D">
      <w:pPr>
        <w:widowControl/>
        <w:numPr>
          <w:ilvl w:val="0"/>
          <w:numId w:val="5"/>
        </w:numPr>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水生植物</w:t>
      </w:r>
      <w:r>
        <w:rPr>
          <w:rFonts w:ascii="宋体" w:hAnsi="宋体" w:eastAsia="宋体" w:cs="Times New Roman"/>
          <w:b/>
          <w:color w:val="auto"/>
          <w:szCs w:val="21"/>
          <w:highlight w:val="none"/>
        </w:rPr>
        <w:t>规格和种植条件经验收合格，方可进行下一道工序。若达不到要求的，</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应负责整改至符合要求，由此造成的经济损失，由</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负责。</w:t>
      </w:r>
    </w:p>
    <w:p w14:paraId="6EC707E0">
      <w:pPr>
        <w:widowControl/>
        <w:numPr>
          <w:ilvl w:val="0"/>
          <w:numId w:val="5"/>
        </w:numPr>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植物</w:t>
      </w:r>
      <w:r>
        <w:rPr>
          <w:rFonts w:ascii="宋体" w:hAnsi="宋体" w:eastAsia="宋体" w:cs="Times New Roman"/>
          <w:b/>
          <w:color w:val="auto"/>
          <w:szCs w:val="21"/>
          <w:highlight w:val="none"/>
        </w:rPr>
        <w:t>养护期为</w:t>
      </w:r>
      <w:r>
        <w:rPr>
          <w:rFonts w:hint="eastAsia" w:ascii="宋体" w:hAnsi="宋体" w:eastAsia="宋体" w:cs="Times New Roman"/>
          <w:b/>
          <w:color w:val="auto"/>
          <w:szCs w:val="21"/>
          <w:highlight w:val="none"/>
          <w:lang w:val="en-US" w:eastAsia="zh-CN"/>
        </w:rPr>
        <w:t>一</w:t>
      </w:r>
      <w:r>
        <w:rPr>
          <w:rFonts w:ascii="宋体" w:hAnsi="宋体" w:eastAsia="宋体" w:cs="Times New Roman"/>
          <w:b/>
          <w:color w:val="auto"/>
          <w:szCs w:val="21"/>
          <w:highlight w:val="none"/>
        </w:rPr>
        <w:t>年</w:t>
      </w:r>
      <w:r>
        <w:rPr>
          <w:rFonts w:ascii="宋体" w:hAnsi="宋体" w:eastAsia="宋体" w:cs="Times New Roman"/>
          <w:b/>
          <w:color w:val="auto"/>
          <w:szCs w:val="21"/>
          <w:highlight w:val="none"/>
        </w:rPr>
        <w:t>，</w:t>
      </w:r>
      <w:r>
        <w:rPr>
          <w:rFonts w:ascii="宋体" w:hAnsi="宋体" w:eastAsia="宋体" w:cs="Times New Roman"/>
          <w:b/>
          <w:color w:val="auto"/>
          <w:szCs w:val="21"/>
          <w:highlight w:val="none"/>
        </w:rPr>
        <w:t>本工程苗木规格标准均须达到工程量清单及设计图纸要求，苗木品种及数量经</w:t>
      </w:r>
      <w:r>
        <w:rPr>
          <w:rFonts w:hint="eastAsia" w:ascii="宋体" w:hAnsi="宋体" w:eastAsia="宋体" w:cs="Times New Roman"/>
          <w:b/>
          <w:color w:val="auto"/>
          <w:szCs w:val="21"/>
          <w:highlight w:val="none"/>
        </w:rPr>
        <w:t>发包人</w:t>
      </w:r>
      <w:r>
        <w:rPr>
          <w:rFonts w:ascii="宋体" w:hAnsi="宋体" w:eastAsia="宋体" w:cs="Times New Roman"/>
          <w:b/>
          <w:color w:val="auto"/>
          <w:szCs w:val="21"/>
          <w:highlight w:val="none"/>
        </w:rPr>
        <w:t>确认后采购</w:t>
      </w:r>
      <w:r>
        <w:rPr>
          <w:rFonts w:hint="eastAsia" w:ascii="宋体" w:hAnsi="宋体" w:cs="Times New Roman"/>
          <w:b/>
          <w:color w:val="auto"/>
          <w:szCs w:val="21"/>
          <w:highlight w:val="none"/>
          <w:lang w:eastAsia="zh-CN"/>
        </w:rPr>
        <w:t>，</w:t>
      </w:r>
      <w:r>
        <w:rPr>
          <w:rFonts w:hint="eastAsia" w:ascii="宋体" w:hAnsi="宋体" w:cs="Times New Roman"/>
          <w:b/>
          <w:color w:val="auto"/>
          <w:szCs w:val="21"/>
          <w:highlight w:val="none"/>
          <w:lang w:val="en-US" w:eastAsia="zh-CN"/>
        </w:rPr>
        <w:t>并</w:t>
      </w:r>
      <w:r>
        <w:rPr>
          <w:rFonts w:ascii="宋体" w:hAnsi="宋体" w:eastAsia="宋体" w:cs="Times New Roman"/>
          <w:b/>
          <w:color w:val="auto"/>
          <w:szCs w:val="21"/>
          <w:highlight w:val="none"/>
        </w:rPr>
        <w:t>须经</w:t>
      </w:r>
      <w:r>
        <w:rPr>
          <w:rFonts w:hint="eastAsia" w:ascii="宋体" w:hAnsi="宋体" w:eastAsia="宋体" w:cs="Times New Roman"/>
          <w:b/>
          <w:color w:val="auto"/>
          <w:szCs w:val="21"/>
          <w:highlight w:val="none"/>
        </w:rPr>
        <w:t>发包人</w:t>
      </w:r>
      <w:r>
        <w:rPr>
          <w:rFonts w:ascii="宋体" w:hAnsi="宋体" w:eastAsia="宋体" w:cs="Times New Roman"/>
          <w:b/>
          <w:color w:val="auto"/>
          <w:szCs w:val="21"/>
          <w:highlight w:val="none"/>
        </w:rPr>
        <w:t>验收合格后方可种植。</w:t>
      </w:r>
    </w:p>
    <w:p w14:paraId="31A6B67F">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（4） 验收因施工原因造成工程达不到合格要求的，</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应负责整改至合格方可交付使用，因此造成的经济损失，由</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负责。</w:t>
      </w:r>
    </w:p>
    <w:p w14:paraId="484A4ED6">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（5） 施工过程挖出的土方及垃圾应立即组织外运，保证施工现整洁，确保文明施工。</w:t>
      </w:r>
    </w:p>
    <w:p w14:paraId="0F9DAE8A">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（7） 养护质量要求：在养护管理期间，承包人应现场建立养护管理机构，对植物进行有效的管理，使植物保持良好的生长状态，保持植物全部成活，并随时补植丢失、损失或枯死的植物。</w:t>
      </w:r>
    </w:p>
    <w:p w14:paraId="00F8231F">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①苗木成活率：</w:t>
      </w:r>
      <w:r>
        <w:rPr>
          <w:rFonts w:hint="eastAsia" w:ascii="宋体" w:hAnsi="宋体" w:cs="Times New Roman"/>
          <w:b/>
          <w:color w:val="auto"/>
          <w:szCs w:val="21"/>
          <w:highlight w:val="none"/>
          <w:lang w:val="en-US" w:eastAsia="zh-CN"/>
        </w:rPr>
        <w:t>各项植物的成活</w:t>
      </w:r>
      <w:r>
        <w:rPr>
          <w:rFonts w:ascii="宋体" w:hAnsi="宋体" w:eastAsia="宋体" w:cs="Times New Roman"/>
          <w:b/>
          <w:color w:val="auto"/>
          <w:szCs w:val="21"/>
          <w:highlight w:val="none"/>
        </w:rPr>
        <w:t>（保存）</w:t>
      </w:r>
      <w:r>
        <w:rPr>
          <w:rFonts w:hint="eastAsia" w:ascii="宋体" w:hAnsi="宋体" w:cs="Times New Roman"/>
          <w:b/>
          <w:color w:val="auto"/>
          <w:szCs w:val="21"/>
          <w:highlight w:val="none"/>
          <w:lang w:val="en-US" w:eastAsia="zh-CN"/>
        </w:rPr>
        <w:t>率详</w:t>
      </w:r>
      <w:r>
        <w:rPr>
          <w:rFonts w:ascii="宋体" w:hAnsi="宋体" w:eastAsia="宋体" w:cs="Times New Roman"/>
          <w:b/>
          <w:color w:val="auto"/>
          <w:szCs w:val="21"/>
          <w:highlight w:val="none"/>
        </w:rPr>
        <w:t>设计图纸要求。养护期间，苗木成活（保存）低于</w:t>
      </w:r>
      <w:r>
        <w:rPr>
          <w:rFonts w:hint="eastAsia" w:ascii="宋体" w:hAnsi="宋体" w:cs="Times New Roman"/>
          <w:b/>
          <w:color w:val="auto"/>
          <w:szCs w:val="21"/>
          <w:highlight w:val="none"/>
          <w:lang w:val="en-US" w:eastAsia="zh-CN"/>
        </w:rPr>
        <w:t>成活</w:t>
      </w:r>
      <w:r>
        <w:rPr>
          <w:rFonts w:ascii="宋体" w:hAnsi="宋体" w:eastAsia="宋体" w:cs="Times New Roman"/>
          <w:b/>
          <w:color w:val="auto"/>
          <w:szCs w:val="21"/>
          <w:highlight w:val="none"/>
        </w:rPr>
        <w:t>（保存）</w:t>
      </w:r>
      <w:r>
        <w:rPr>
          <w:rFonts w:hint="eastAsia" w:ascii="宋体" w:hAnsi="宋体" w:cs="Times New Roman"/>
          <w:b/>
          <w:color w:val="auto"/>
          <w:szCs w:val="21"/>
          <w:highlight w:val="none"/>
          <w:lang w:val="en-US" w:eastAsia="zh-CN"/>
        </w:rPr>
        <w:t>率</w:t>
      </w:r>
      <w:r>
        <w:rPr>
          <w:rFonts w:ascii="宋体" w:hAnsi="宋体" w:eastAsia="宋体" w:cs="Times New Roman"/>
          <w:b/>
          <w:color w:val="auto"/>
          <w:szCs w:val="21"/>
          <w:highlight w:val="none"/>
        </w:rPr>
        <w:t>的，</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应按设计图纸要求的规格及时进行补植，并不应索取任何费用；若养护期满，苗木成活（保存）低于</w:t>
      </w:r>
      <w:r>
        <w:rPr>
          <w:rFonts w:hint="eastAsia" w:ascii="宋体" w:hAnsi="宋体" w:cs="Times New Roman"/>
          <w:b/>
          <w:color w:val="auto"/>
          <w:szCs w:val="21"/>
          <w:highlight w:val="none"/>
          <w:lang w:val="en-US" w:eastAsia="zh-CN"/>
        </w:rPr>
        <w:t>成活</w:t>
      </w:r>
      <w:r>
        <w:rPr>
          <w:rFonts w:ascii="宋体" w:hAnsi="宋体" w:eastAsia="宋体" w:cs="Times New Roman"/>
          <w:b/>
          <w:color w:val="auto"/>
          <w:szCs w:val="21"/>
          <w:highlight w:val="none"/>
        </w:rPr>
        <w:t>（保存）</w:t>
      </w:r>
      <w:r>
        <w:rPr>
          <w:rFonts w:hint="eastAsia" w:ascii="宋体" w:hAnsi="宋体" w:cs="Times New Roman"/>
          <w:b/>
          <w:color w:val="auto"/>
          <w:szCs w:val="21"/>
          <w:highlight w:val="none"/>
          <w:lang w:val="en-US" w:eastAsia="zh-CN"/>
        </w:rPr>
        <w:t>率</w:t>
      </w:r>
      <w:r>
        <w:rPr>
          <w:rFonts w:ascii="宋体" w:hAnsi="宋体" w:eastAsia="宋体" w:cs="Times New Roman"/>
          <w:b/>
          <w:color w:val="auto"/>
          <w:szCs w:val="21"/>
          <w:highlight w:val="none"/>
        </w:rPr>
        <w:t>的，承包人应及时补植，补植的养护期顺延六个月，不另行计取任何费用；若承包人不能因苗木死亡而及时应按设计图纸要求的规格尺寸及冠幅及时补植，发包人有权雇佣第三方补植，所需费用</w:t>
      </w:r>
      <w:r>
        <w:rPr>
          <w:rFonts w:hint="eastAsia" w:ascii="宋体" w:hAnsi="宋体" w:eastAsia="宋体" w:cs="Times New Roman"/>
          <w:b/>
          <w:color w:val="auto"/>
          <w:szCs w:val="21"/>
          <w:highlight w:val="none"/>
        </w:rPr>
        <w:t>发包人</w:t>
      </w:r>
      <w:r>
        <w:rPr>
          <w:rFonts w:ascii="宋体" w:hAnsi="宋体" w:eastAsia="宋体" w:cs="Times New Roman"/>
          <w:b/>
          <w:color w:val="auto"/>
          <w:szCs w:val="21"/>
          <w:highlight w:val="none"/>
        </w:rPr>
        <w:t>将在质量保证金或履约保证金或当期进度款中扣回，</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不得有异议。</w:t>
      </w:r>
    </w:p>
    <w:p w14:paraId="65E727C5">
      <w:pPr>
        <w:widowControl/>
        <w:shd w:val="clear" w:color="auto" w:fill="FFFFFF"/>
        <w:snapToGrid w:val="0"/>
        <w:spacing w:line="520" w:lineRule="exact"/>
        <w:ind w:firstLine="422" w:firstLineChars="200"/>
        <w:jc w:val="left"/>
        <w:rPr>
          <w:rFonts w:ascii="宋体" w:hAnsi="宋体" w:eastAsia="宋体" w:cs="Times New Roman"/>
          <w:b/>
          <w:color w:val="auto"/>
          <w:szCs w:val="21"/>
          <w:highlight w:val="none"/>
        </w:rPr>
      </w:pPr>
      <w:r>
        <w:rPr>
          <w:rFonts w:hint="default" w:ascii="宋体" w:hAnsi="宋体" w:eastAsia="宋体" w:cs="Times New Roman"/>
          <w:b/>
          <w:color w:val="auto"/>
          <w:szCs w:val="21"/>
          <w:highlight w:val="none"/>
        </w:rPr>
        <w:t>②</w:t>
      </w:r>
      <w:r>
        <w:rPr>
          <w:rFonts w:ascii="宋体" w:hAnsi="宋体" w:eastAsia="宋体" w:cs="Times New Roman"/>
          <w:b/>
          <w:color w:val="auto"/>
          <w:szCs w:val="21"/>
          <w:highlight w:val="none"/>
        </w:rPr>
        <w:t>环境保护：在养护期间。所清理的垃圾、杂草应及时运清。若</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不能清理垃圾、杂草，随意丢弃，造成环境污染，</w:t>
      </w:r>
      <w:r>
        <w:rPr>
          <w:rFonts w:hint="eastAsia" w:ascii="宋体" w:hAnsi="宋体" w:eastAsia="宋体" w:cs="Times New Roman"/>
          <w:b/>
          <w:color w:val="auto"/>
          <w:szCs w:val="21"/>
          <w:highlight w:val="none"/>
        </w:rPr>
        <w:t>发包人</w:t>
      </w:r>
      <w:r>
        <w:rPr>
          <w:rFonts w:ascii="宋体" w:hAnsi="宋体" w:eastAsia="宋体" w:cs="Times New Roman"/>
          <w:b/>
          <w:color w:val="auto"/>
          <w:szCs w:val="21"/>
          <w:highlight w:val="none"/>
        </w:rPr>
        <w:t>有权雇佣第三方清除，所需费用</w:t>
      </w:r>
      <w:r>
        <w:rPr>
          <w:rFonts w:hint="eastAsia" w:ascii="宋体" w:hAnsi="宋体" w:eastAsia="宋体" w:cs="Times New Roman"/>
          <w:b/>
          <w:color w:val="auto"/>
          <w:szCs w:val="21"/>
          <w:highlight w:val="none"/>
        </w:rPr>
        <w:t>发包人</w:t>
      </w:r>
      <w:r>
        <w:rPr>
          <w:rFonts w:ascii="宋体" w:hAnsi="宋体" w:eastAsia="宋体" w:cs="Times New Roman"/>
          <w:b/>
          <w:color w:val="auto"/>
          <w:szCs w:val="21"/>
          <w:highlight w:val="none"/>
        </w:rPr>
        <w:t>将在质量保证金或履约保证金或当期进度款中扣回。</w:t>
      </w:r>
      <w:r>
        <w:rPr>
          <w:rFonts w:hint="eastAsia" w:ascii="宋体" w:hAnsi="宋体" w:eastAsia="宋体" w:cs="Times New Roman"/>
          <w:b/>
          <w:color w:val="auto"/>
          <w:szCs w:val="21"/>
          <w:highlight w:val="none"/>
        </w:rPr>
        <w:t>承包人</w:t>
      </w:r>
      <w:r>
        <w:rPr>
          <w:rFonts w:ascii="宋体" w:hAnsi="宋体" w:eastAsia="宋体" w:cs="Times New Roman"/>
          <w:b/>
          <w:color w:val="auto"/>
          <w:szCs w:val="21"/>
          <w:highlight w:val="none"/>
        </w:rPr>
        <w:t>不得有异议。</w:t>
      </w:r>
    </w:p>
    <w:p w14:paraId="7E7987AC">
      <w:pPr>
        <w:widowControl/>
        <w:shd w:val="clear" w:color="auto" w:fill="FFFFFF"/>
        <w:snapToGrid w:val="0"/>
        <w:spacing w:line="520" w:lineRule="exact"/>
        <w:ind w:firstLine="422" w:firstLineChars="200"/>
        <w:jc w:val="left"/>
        <w:rPr>
          <w:rFonts w:hint="eastAsia" w:ascii="宋体" w:hAnsi="宋体" w:eastAsia="宋体" w:cs="Times New Roman"/>
          <w:color w:val="auto"/>
          <w:szCs w:val="21"/>
          <w:highlight w:val="none"/>
        </w:rPr>
      </w:pPr>
      <w:r>
        <w:rPr>
          <w:rFonts w:ascii="宋体" w:hAnsi="宋体" w:eastAsia="宋体" w:cs="Times New Roman"/>
          <w:b/>
          <w:color w:val="auto"/>
          <w:szCs w:val="21"/>
          <w:highlight w:val="none"/>
        </w:rPr>
        <w:t>项目绿化养护期及养护期满验收合格至工程移交之前的水电费由承包人承担。</w:t>
      </w:r>
      <w:r>
        <w:rPr>
          <w:rFonts w:hint="eastAsia" w:ascii="宋体" w:hAnsi="宋体" w:eastAsia="宋体" w:cs="Times New Roman"/>
          <w:color w:val="auto"/>
          <w:szCs w:val="21"/>
          <w:highlight w:val="none"/>
        </w:rPr>
        <w:t xml:space="preserve"> </w:t>
      </w:r>
    </w:p>
    <w:p w14:paraId="5CCEE9D5">
      <w:pPr>
        <w:pStyle w:val="22"/>
        <w:topLinePunct/>
        <w:spacing w:line="460" w:lineRule="exact"/>
        <w:ind w:firstLine="422" w:firstLineChars="200"/>
        <w:rPr>
          <w:rFonts w:hint="eastAsia" w:ascii="宋体" w:hAnsi="宋体" w:eastAsia="宋体" w:cs="宋体"/>
          <w:b/>
          <w:color w:val="auto"/>
          <w:highlight w:val="none"/>
          <w:u w:val="double"/>
        </w:rPr>
      </w:pPr>
      <w:r>
        <w:rPr>
          <w:rFonts w:hint="eastAsia" w:ascii="宋体" w:hAnsi="宋体" w:eastAsia="宋体" w:cs="宋体"/>
          <w:b/>
          <w:color w:val="auto"/>
          <w:highlight w:val="none"/>
          <w:u w:val="double"/>
        </w:rPr>
        <w:t>注：承包人因涉及到违约而产生的违约金应由承包人直接缴纳到委托人账号，未缴纳，委托人有权暂停支付工程款，承包人必须无条件接受。</w:t>
      </w:r>
    </w:p>
    <w:p w14:paraId="5DAD11F9">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p>
    <w:p w14:paraId="249AD12A">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p>
    <w:p w14:paraId="7BF2BFE6">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p>
    <w:p w14:paraId="0905C188">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p>
    <w:p w14:paraId="4316EEF4">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p>
    <w:p w14:paraId="011F20B0">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p>
    <w:p w14:paraId="447E32F9">
      <w:pPr>
        <w:pStyle w:val="21"/>
        <w:keepNext w:val="0"/>
        <w:keepLines w:val="0"/>
        <w:pageBreakBefore w:val="0"/>
        <w:numPr>
          <w:ilvl w:val="0"/>
          <w:numId w:val="0"/>
        </w:numPr>
        <w:kinsoku/>
        <w:overflowPunct/>
        <w:topLinePunct w:val="0"/>
        <w:bidi w:val="0"/>
        <w:snapToGrid/>
        <w:spacing w:before="0" w:beforeLines="0" w:after="0" w:afterLines="0" w:line="440" w:lineRule="exact"/>
        <w:ind w:left="0" w:leftChars="0" w:right="0" w:rightChars="0" w:firstLine="482" w:firstLineChars="200"/>
        <w:jc w:val="both"/>
        <w:textAlignment w:val="auto"/>
        <w:rPr>
          <w:rFonts w:hint="eastAsia" w:ascii="宋体" w:hAnsi="宋体" w:eastAsia="宋体" w:cs="宋体"/>
          <w:b/>
          <w:color w:val="auto"/>
          <w:kern w:val="0"/>
          <w:sz w:val="24"/>
          <w:szCs w:val="24"/>
          <w:highlight w:val="none"/>
          <w:lang w:val="en-US" w:eastAsia="zh-CN" w:bidi="ar-SA"/>
        </w:rPr>
      </w:pPr>
    </w:p>
    <w:p w14:paraId="708C4521">
      <w:pPr>
        <w:rPr>
          <w:rFonts w:hint="eastAsia" w:ascii="宋体" w:hAnsi="宋体" w:eastAsia="宋体" w:cs="宋体"/>
          <w:b/>
          <w:color w:val="auto"/>
          <w:sz w:val="32"/>
          <w:szCs w:val="32"/>
          <w:highlight w:val="none"/>
        </w:rPr>
      </w:pPr>
    </w:p>
    <w:p w14:paraId="5CEA36CB">
      <w:pPr>
        <w:spacing w:before="156" w:beforeLines="50" w:after="156" w:afterLines="50" w:line="400" w:lineRule="exact"/>
        <w:ind w:firstLine="1928" w:firstLineChars="6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第四章  工程量清单（另册提供）</w:t>
      </w:r>
    </w:p>
    <w:p w14:paraId="6ED5E770">
      <w:pPr>
        <w:spacing w:before="156" w:beforeLines="50" w:after="156" w:afterLines="50" w:line="400" w:lineRule="exact"/>
        <w:rPr>
          <w:rFonts w:hint="eastAsia" w:ascii="宋体" w:hAnsi="宋体" w:eastAsia="宋体" w:cs="宋体"/>
          <w:b/>
          <w:color w:val="auto"/>
          <w:sz w:val="32"/>
          <w:szCs w:val="32"/>
          <w:highlight w:val="none"/>
        </w:rPr>
      </w:pPr>
    </w:p>
    <w:p w14:paraId="0E6962DD">
      <w:pPr>
        <w:spacing w:before="156" w:beforeLines="50" w:after="156" w:afterLines="50" w:line="400" w:lineRule="exact"/>
        <w:ind w:firstLine="1928" w:firstLineChars="6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  图纸（另册提供）</w:t>
      </w:r>
    </w:p>
    <w:p w14:paraId="639ACBC5">
      <w:pPr>
        <w:spacing w:before="156" w:beforeLines="50" w:after="156" w:afterLines="50" w:line="400" w:lineRule="exact"/>
        <w:rPr>
          <w:rFonts w:hint="eastAsia" w:ascii="宋体" w:hAnsi="宋体" w:eastAsia="宋体" w:cs="宋体"/>
          <w:b/>
          <w:color w:val="auto"/>
          <w:sz w:val="32"/>
          <w:szCs w:val="32"/>
          <w:highlight w:val="none"/>
        </w:rPr>
      </w:pPr>
    </w:p>
    <w:p w14:paraId="4EEA6B83">
      <w:pPr>
        <w:spacing w:before="156" w:beforeLines="50" w:after="156" w:afterLines="50" w:line="400" w:lineRule="exact"/>
        <w:ind w:firstLine="1928" w:firstLineChars="6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第六章  技术要求（另册提供）</w:t>
      </w:r>
    </w:p>
    <w:p w14:paraId="346CA137">
      <w:pPr>
        <w:spacing w:before="156" w:beforeLines="50" w:after="156" w:afterLines="50" w:line="400" w:lineRule="exact"/>
        <w:jc w:val="center"/>
        <w:rPr>
          <w:rFonts w:hint="eastAsia" w:ascii="宋体" w:hAnsi="宋体" w:eastAsia="宋体" w:cs="宋体"/>
          <w:b/>
          <w:color w:val="auto"/>
          <w:sz w:val="32"/>
          <w:szCs w:val="32"/>
          <w:highlight w:val="none"/>
        </w:rPr>
      </w:pPr>
    </w:p>
    <w:p w14:paraId="20D3ECE6">
      <w:pPr>
        <w:spacing w:before="156" w:beforeLines="50" w:after="156" w:afterLines="50" w:line="400" w:lineRule="exact"/>
        <w:rPr>
          <w:rFonts w:hint="eastAsia" w:ascii="宋体" w:hAnsi="宋体" w:eastAsia="宋体" w:cs="宋体"/>
          <w:b/>
          <w:color w:val="auto"/>
          <w:sz w:val="32"/>
          <w:szCs w:val="32"/>
          <w:highlight w:val="none"/>
        </w:rPr>
      </w:pPr>
    </w:p>
    <w:p w14:paraId="155BD129">
      <w:pPr>
        <w:pStyle w:val="20"/>
        <w:rPr>
          <w:rFonts w:hint="eastAsia" w:ascii="宋体" w:hAnsi="宋体" w:cs="宋体"/>
          <w:b/>
          <w:color w:val="auto"/>
          <w:sz w:val="32"/>
          <w:szCs w:val="32"/>
          <w:highlight w:val="none"/>
        </w:rPr>
      </w:pPr>
    </w:p>
    <w:p w14:paraId="3094A0FC">
      <w:pPr>
        <w:pStyle w:val="20"/>
        <w:rPr>
          <w:rFonts w:hint="eastAsia" w:ascii="宋体" w:hAnsi="宋体" w:cs="宋体"/>
          <w:b/>
          <w:color w:val="auto"/>
          <w:sz w:val="32"/>
          <w:szCs w:val="32"/>
          <w:highlight w:val="none"/>
        </w:rPr>
      </w:pPr>
    </w:p>
    <w:p w14:paraId="5F48AA8D">
      <w:pPr>
        <w:pStyle w:val="20"/>
        <w:rPr>
          <w:rFonts w:hint="eastAsia" w:ascii="宋体" w:hAnsi="宋体" w:cs="宋体"/>
          <w:b/>
          <w:color w:val="auto"/>
          <w:sz w:val="32"/>
          <w:szCs w:val="32"/>
          <w:highlight w:val="none"/>
        </w:rPr>
      </w:pPr>
    </w:p>
    <w:p w14:paraId="2B9C88F9">
      <w:pPr>
        <w:spacing w:before="156" w:beforeLines="50" w:after="156" w:afterLines="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5D739B90">
      <w:pPr>
        <w:spacing w:before="156" w:beforeLines="50" w:after="156" w:afterLines="50"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4A5EF873">
      <w:pPr>
        <w:spacing w:line="5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第七章  投标文件格式</w:t>
      </w:r>
    </w:p>
    <w:p w14:paraId="5A056944">
      <w:pPr>
        <w:spacing w:line="560" w:lineRule="exact"/>
        <w:jc w:val="center"/>
        <w:rPr>
          <w:rFonts w:hint="eastAsia" w:ascii="宋体" w:hAnsi="宋体" w:eastAsia="宋体" w:cs="宋体"/>
          <w:b/>
          <w:color w:val="auto"/>
          <w:sz w:val="32"/>
          <w:szCs w:val="32"/>
          <w:highlight w:val="none"/>
        </w:rPr>
      </w:pPr>
    </w:p>
    <w:p w14:paraId="73C02DBE">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r>
        <w:rPr>
          <w:rFonts w:hint="eastAsia" w:ascii="宋体" w:hAnsi="宋体" w:cs="宋体"/>
          <w:b/>
          <w:color w:val="auto"/>
          <w:sz w:val="32"/>
          <w:szCs w:val="32"/>
          <w:highlight w:val="none"/>
          <w:lang w:eastAsia="zh-CN"/>
        </w:rPr>
        <w:t>莆田市湄洲岛再生水利用配置试点项目（二期）</w:t>
      </w:r>
      <w:r>
        <w:rPr>
          <w:rFonts w:hint="eastAsia" w:ascii="宋体" w:hAnsi="宋体" w:eastAsia="宋体" w:cs="宋体"/>
          <w:b/>
          <w:color w:val="auto"/>
          <w:sz w:val="32"/>
          <w:szCs w:val="32"/>
          <w:highlight w:val="none"/>
        </w:rPr>
        <w:t xml:space="preserve">     </w:t>
      </w:r>
    </w:p>
    <w:p w14:paraId="3636F996">
      <w:pPr>
        <w:jc w:val="both"/>
        <w:rPr>
          <w:rFonts w:hint="eastAsia" w:ascii="宋体" w:hAnsi="宋体" w:eastAsia="宋体" w:cs="宋体"/>
          <w:b/>
          <w:bCs/>
          <w:color w:val="auto"/>
          <w:sz w:val="84"/>
          <w:highlight w:val="none"/>
        </w:rPr>
      </w:pPr>
    </w:p>
    <w:p w14:paraId="1AC6A94D">
      <w:pPr>
        <w:jc w:val="center"/>
        <w:rPr>
          <w:rFonts w:hint="eastAsia" w:ascii="宋体" w:hAnsi="宋体" w:eastAsia="宋体" w:cs="宋体"/>
          <w:b/>
          <w:bCs/>
          <w:color w:val="auto"/>
          <w:sz w:val="84"/>
          <w:highlight w:val="none"/>
        </w:rPr>
      </w:pPr>
      <w:r>
        <w:rPr>
          <w:rFonts w:hint="eastAsia" w:ascii="宋体" w:hAnsi="宋体" w:eastAsia="宋体" w:cs="宋体"/>
          <w:b/>
          <w:bCs/>
          <w:color w:val="auto"/>
          <w:sz w:val="84"/>
          <w:highlight w:val="none"/>
        </w:rPr>
        <w:t>投 标 文 件</w:t>
      </w:r>
    </w:p>
    <w:p w14:paraId="77EE02B9">
      <w:pPr>
        <w:jc w:val="both"/>
        <w:rPr>
          <w:rFonts w:hint="eastAsia" w:ascii="宋体" w:hAnsi="宋体" w:eastAsia="宋体" w:cs="宋体"/>
          <w:b/>
          <w:color w:val="auto"/>
          <w:sz w:val="32"/>
          <w:highlight w:val="none"/>
        </w:rPr>
      </w:pPr>
    </w:p>
    <w:p w14:paraId="3330B472">
      <w:pPr>
        <w:pStyle w:val="2"/>
        <w:rPr>
          <w:rFonts w:hint="eastAsia"/>
          <w:color w:val="auto"/>
          <w:highlight w:val="none"/>
        </w:rPr>
      </w:pPr>
    </w:p>
    <w:p w14:paraId="4C0776D2">
      <w:pPr>
        <w:spacing w:line="900" w:lineRule="exact"/>
        <w:rPr>
          <w:rFonts w:hint="eastAsia" w:ascii="宋体" w:hAnsi="宋体" w:eastAsia="宋体" w:cs="宋体"/>
          <w:color w:val="auto"/>
          <w:sz w:val="28"/>
          <w:highlight w:val="none"/>
        </w:rPr>
      </w:pPr>
      <w:r>
        <w:rPr>
          <w:rFonts w:hint="eastAsia" w:ascii="宋体" w:hAnsi="宋体" w:eastAsia="宋体" w:cs="宋体"/>
          <w:color w:val="auto"/>
          <w:spacing w:val="60"/>
          <w:sz w:val="36"/>
          <w:szCs w:val="36"/>
          <w:highlight w:val="none"/>
        </w:rPr>
        <w:t>招标编</w:t>
      </w:r>
      <w:r>
        <w:rPr>
          <w:rFonts w:hint="eastAsia" w:ascii="宋体" w:hAnsi="宋体" w:eastAsia="宋体" w:cs="宋体"/>
          <w:color w:val="auto"/>
          <w:sz w:val="36"/>
          <w:szCs w:val="36"/>
          <w:highlight w:val="none"/>
        </w:rPr>
        <w:t>号：</w:t>
      </w:r>
      <w:r>
        <w:rPr>
          <w:rFonts w:hint="eastAsia" w:ascii="宋体" w:hAnsi="宋体" w:eastAsia="宋体" w:cs="宋体"/>
          <w:color w:val="auto"/>
          <w:sz w:val="36"/>
          <w:highlight w:val="none"/>
          <w:u w:val="single"/>
        </w:rPr>
        <w:t xml:space="preserve">                                </w:t>
      </w:r>
    </w:p>
    <w:p w14:paraId="2ED705F1">
      <w:pPr>
        <w:spacing w:line="900" w:lineRule="exact"/>
        <w:rPr>
          <w:rFonts w:hint="eastAsia" w:ascii="宋体" w:hAnsi="宋体" w:eastAsia="宋体" w:cs="宋体"/>
          <w:color w:val="auto"/>
          <w:sz w:val="36"/>
          <w:highlight w:val="none"/>
          <w:u w:val="single"/>
        </w:rPr>
      </w:pPr>
      <w:r>
        <w:rPr>
          <w:rFonts w:hint="eastAsia" w:ascii="宋体" w:hAnsi="宋体" w:eastAsia="宋体" w:cs="宋体"/>
          <w:color w:val="auto"/>
          <w:spacing w:val="60"/>
          <w:sz w:val="36"/>
          <w:szCs w:val="36"/>
          <w:highlight w:val="none"/>
        </w:rPr>
        <w:t>项目名</w:t>
      </w:r>
      <w:r>
        <w:rPr>
          <w:rFonts w:hint="eastAsia" w:ascii="宋体" w:hAnsi="宋体" w:eastAsia="宋体" w:cs="宋体"/>
          <w:color w:val="auto"/>
          <w:sz w:val="36"/>
          <w:szCs w:val="36"/>
          <w:highlight w:val="none"/>
        </w:rPr>
        <w:t>称：</w:t>
      </w:r>
      <w:r>
        <w:rPr>
          <w:rFonts w:hint="eastAsia" w:ascii="宋体" w:hAnsi="宋体" w:eastAsia="宋体" w:cs="宋体"/>
          <w:color w:val="auto"/>
          <w:sz w:val="36"/>
          <w:highlight w:val="none"/>
          <w:u w:val="single"/>
        </w:rPr>
        <w:t xml:space="preserve">                                </w:t>
      </w:r>
    </w:p>
    <w:p w14:paraId="3333DE6E">
      <w:pPr>
        <w:spacing w:line="900" w:lineRule="exact"/>
        <w:rPr>
          <w:rFonts w:hint="eastAsia" w:ascii="宋体" w:hAnsi="宋体" w:eastAsia="宋体" w:cs="宋体"/>
          <w:color w:val="auto"/>
          <w:sz w:val="36"/>
          <w:highlight w:val="none"/>
        </w:rPr>
      </w:pPr>
      <w:r>
        <w:rPr>
          <w:rFonts w:hint="eastAsia" w:ascii="宋体" w:hAnsi="宋体" w:eastAsia="宋体" w:cs="宋体"/>
          <w:color w:val="auto"/>
          <w:sz w:val="36"/>
          <w:highlight w:val="none"/>
        </w:rPr>
        <w:t xml:space="preserve">招  标  人: </w:t>
      </w:r>
      <w:r>
        <w:rPr>
          <w:rFonts w:hint="eastAsia" w:ascii="宋体" w:hAnsi="宋体" w:eastAsia="宋体" w:cs="宋体"/>
          <w:color w:val="auto"/>
          <w:sz w:val="36"/>
          <w:highlight w:val="none"/>
          <w:u w:val="single"/>
        </w:rPr>
        <w:t xml:space="preserve">                                 </w:t>
      </w:r>
    </w:p>
    <w:p w14:paraId="7BEF891C">
      <w:pPr>
        <w:spacing w:line="900" w:lineRule="exact"/>
        <w:rPr>
          <w:rFonts w:hint="eastAsia" w:ascii="宋体" w:hAnsi="宋体" w:eastAsia="宋体" w:cs="宋体"/>
          <w:color w:val="auto"/>
          <w:sz w:val="36"/>
          <w:highlight w:val="none"/>
        </w:rPr>
      </w:pPr>
      <w:r>
        <w:rPr>
          <w:rFonts w:hint="eastAsia" w:ascii="宋体" w:hAnsi="宋体" w:eastAsia="宋体" w:cs="宋体"/>
          <w:color w:val="auto"/>
          <w:sz w:val="36"/>
          <w:highlight w:val="none"/>
        </w:rPr>
        <w:t>投  标  人：</w:t>
      </w:r>
      <w:r>
        <w:rPr>
          <w:rFonts w:hint="eastAsia" w:ascii="宋体" w:hAnsi="宋体" w:eastAsia="宋体" w:cs="宋体"/>
          <w:color w:val="auto"/>
          <w:sz w:val="36"/>
          <w:highlight w:val="none"/>
          <w:u w:val="single"/>
        </w:rPr>
        <w:t xml:space="preserve">                       （盖</w:t>
      </w:r>
      <w:r>
        <w:rPr>
          <w:rFonts w:hint="eastAsia" w:ascii="宋体" w:hAnsi="宋体" w:eastAsia="宋体" w:cs="宋体"/>
          <w:color w:val="auto"/>
          <w:sz w:val="36"/>
          <w:highlight w:val="none"/>
          <w:u w:val="single"/>
          <w:lang w:val="en-US" w:eastAsia="zh-CN"/>
        </w:rPr>
        <w:t>单位公</w:t>
      </w:r>
      <w:r>
        <w:rPr>
          <w:rFonts w:hint="eastAsia" w:ascii="宋体" w:hAnsi="宋体" w:eastAsia="宋体" w:cs="宋体"/>
          <w:color w:val="auto"/>
          <w:sz w:val="36"/>
          <w:highlight w:val="none"/>
          <w:u w:val="single"/>
        </w:rPr>
        <w:t>章）</w:t>
      </w:r>
    </w:p>
    <w:p w14:paraId="42DEB8FD">
      <w:pPr>
        <w:spacing w:line="900" w:lineRule="exact"/>
        <w:rPr>
          <w:rFonts w:hint="eastAsia" w:ascii="宋体" w:hAnsi="宋体" w:eastAsia="宋体" w:cs="宋体"/>
          <w:color w:val="auto"/>
          <w:sz w:val="36"/>
          <w:highlight w:val="none"/>
          <w:u w:val="single"/>
        </w:rPr>
      </w:pPr>
      <w:r>
        <w:rPr>
          <w:rFonts w:hint="eastAsia" w:ascii="宋体" w:hAnsi="宋体" w:eastAsia="宋体" w:cs="宋体"/>
          <w:color w:val="auto"/>
          <w:sz w:val="36"/>
          <w:highlight w:val="none"/>
        </w:rPr>
        <w:t>法定代表人或其委托代理人：</w:t>
      </w:r>
      <w:r>
        <w:rPr>
          <w:rFonts w:hint="eastAsia" w:ascii="宋体" w:hAnsi="宋体" w:eastAsia="宋体" w:cs="宋体"/>
          <w:color w:val="auto"/>
          <w:sz w:val="36"/>
          <w:highlight w:val="none"/>
          <w:u w:val="single"/>
        </w:rPr>
        <w:t xml:space="preserve">     (签字</w:t>
      </w:r>
      <w:r>
        <w:rPr>
          <w:rFonts w:hint="eastAsia" w:ascii="宋体" w:hAnsi="宋体" w:eastAsia="宋体" w:cs="宋体"/>
          <w:color w:val="auto"/>
          <w:sz w:val="36"/>
          <w:highlight w:val="none"/>
          <w:u w:val="single"/>
          <w:lang w:val="en-US" w:eastAsia="zh-CN"/>
        </w:rPr>
        <w:t>或</w:t>
      </w:r>
      <w:r>
        <w:rPr>
          <w:rFonts w:hint="eastAsia" w:ascii="宋体" w:hAnsi="宋体" w:eastAsia="宋体" w:cs="宋体"/>
          <w:color w:val="auto"/>
          <w:sz w:val="36"/>
          <w:highlight w:val="none"/>
          <w:u w:val="single"/>
        </w:rPr>
        <w:t xml:space="preserve">盖章)     </w:t>
      </w:r>
    </w:p>
    <w:p w14:paraId="509CB756">
      <w:pPr>
        <w:spacing w:line="900" w:lineRule="exact"/>
        <w:rPr>
          <w:rFonts w:hint="eastAsia" w:ascii="宋体" w:hAnsi="宋体" w:eastAsia="宋体" w:cs="宋体"/>
          <w:color w:val="auto"/>
          <w:sz w:val="36"/>
          <w:highlight w:val="none"/>
        </w:rPr>
      </w:pPr>
      <w:r>
        <w:rPr>
          <w:rFonts w:hint="eastAsia" w:ascii="宋体" w:hAnsi="宋体" w:eastAsia="宋体" w:cs="宋体"/>
          <w:color w:val="auto"/>
          <w:sz w:val="36"/>
          <w:highlight w:val="none"/>
        </w:rPr>
        <w:t>投标人地址:</w:t>
      </w:r>
      <w:r>
        <w:rPr>
          <w:rFonts w:hint="eastAsia" w:ascii="宋体" w:hAnsi="宋体" w:eastAsia="宋体" w:cs="宋体"/>
          <w:color w:val="auto"/>
          <w:sz w:val="36"/>
          <w:highlight w:val="none"/>
          <w:u w:val="single"/>
        </w:rPr>
        <w:t xml:space="preserve">                                    </w:t>
      </w:r>
    </w:p>
    <w:p w14:paraId="7F5DD7FD">
      <w:pPr>
        <w:spacing w:line="900" w:lineRule="exact"/>
        <w:rPr>
          <w:rFonts w:hint="eastAsia" w:ascii="宋体" w:hAnsi="宋体" w:eastAsia="宋体" w:cs="宋体"/>
          <w:color w:val="auto"/>
          <w:sz w:val="36"/>
          <w:highlight w:val="none"/>
        </w:rPr>
      </w:pPr>
      <w:r>
        <w:rPr>
          <w:rFonts w:hint="eastAsia" w:ascii="宋体" w:hAnsi="宋体" w:eastAsia="宋体" w:cs="宋体"/>
          <w:color w:val="auto"/>
          <w:sz w:val="36"/>
          <w:highlight w:val="none"/>
        </w:rPr>
        <w:t>投标人邮政编码：</w:t>
      </w:r>
      <w:r>
        <w:rPr>
          <w:rFonts w:hint="eastAsia" w:ascii="宋体" w:hAnsi="宋体" w:eastAsia="宋体" w:cs="宋体"/>
          <w:color w:val="auto"/>
          <w:sz w:val="36"/>
          <w:highlight w:val="none"/>
          <w:u w:val="single"/>
        </w:rPr>
        <w:t xml:space="preserve">                               </w:t>
      </w:r>
    </w:p>
    <w:p w14:paraId="54DA62C2">
      <w:pPr>
        <w:spacing w:line="900" w:lineRule="exact"/>
        <w:rPr>
          <w:rFonts w:hint="eastAsia" w:ascii="宋体" w:hAnsi="宋体" w:eastAsia="宋体" w:cs="宋体"/>
          <w:color w:val="auto"/>
          <w:sz w:val="44"/>
          <w:szCs w:val="44"/>
          <w:highlight w:val="none"/>
        </w:rPr>
      </w:pPr>
      <w:r>
        <w:rPr>
          <w:rFonts w:hint="eastAsia" w:ascii="宋体" w:hAnsi="宋体" w:eastAsia="宋体" w:cs="宋体"/>
          <w:color w:val="auto"/>
          <w:spacing w:val="60"/>
          <w:sz w:val="36"/>
          <w:szCs w:val="36"/>
          <w:highlight w:val="none"/>
        </w:rPr>
        <w:t>编制时</w:t>
      </w:r>
      <w:r>
        <w:rPr>
          <w:rFonts w:hint="eastAsia" w:ascii="宋体" w:hAnsi="宋体" w:eastAsia="宋体" w:cs="宋体"/>
          <w:color w:val="auto"/>
          <w:sz w:val="36"/>
          <w:szCs w:val="36"/>
          <w:highlight w:val="none"/>
        </w:rPr>
        <w:t>间：</w:t>
      </w:r>
      <w:r>
        <w:rPr>
          <w:rFonts w:hint="eastAsia" w:ascii="宋体" w:hAnsi="宋体" w:eastAsia="宋体" w:cs="宋体"/>
          <w:color w:val="auto"/>
          <w:sz w:val="36"/>
          <w:highlight w:val="none"/>
          <w:u w:val="single"/>
        </w:rPr>
        <w:t xml:space="preserve">                                      </w:t>
      </w:r>
      <w:r>
        <w:rPr>
          <w:rFonts w:hint="eastAsia" w:ascii="宋体" w:hAnsi="宋体" w:eastAsia="宋体" w:cs="宋体"/>
          <w:color w:val="auto"/>
          <w:sz w:val="36"/>
          <w:szCs w:val="36"/>
          <w:highlight w:val="none"/>
        </w:rPr>
        <w:t xml:space="preserve">                                  </w:t>
      </w:r>
    </w:p>
    <w:p w14:paraId="55009CCF">
      <w:pPr>
        <w:pStyle w:val="13"/>
        <w:spacing w:before="156" w:beforeLines="50" w:after="156" w:afterLines="50" w:line="240" w:lineRule="auto"/>
        <w:jc w:val="center"/>
        <w:rPr>
          <w:rFonts w:hint="eastAsia" w:ascii="宋体" w:hAnsi="宋体" w:eastAsia="宋体" w:cs="宋体"/>
          <w:color w:val="auto"/>
          <w:sz w:val="44"/>
          <w:szCs w:val="44"/>
          <w:highlight w:val="none"/>
        </w:rPr>
      </w:pPr>
    </w:p>
    <w:p w14:paraId="3015808D">
      <w:pPr>
        <w:pStyle w:val="13"/>
        <w:spacing w:before="156" w:beforeLines="50" w:after="156" w:afterLines="50" w:line="240" w:lineRule="auto"/>
        <w:jc w:val="center"/>
        <w:rPr>
          <w:rFonts w:hint="eastAsia" w:ascii="宋体" w:hAnsi="宋体" w:eastAsia="宋体" w:cs="宋体"/>
          <w:color w:val="auto"/>
          <w:sz w:val="44"/>
          <w:szCs w:val="44"/>
          <w:highlight w:val="none"/>
        </w:rPr>
      </w:pPr>
    </w:p>
    <w:p w14:paraId="7CD93732">
      <w:pPr>
        <w:pStyle w:val="13"/>
        <w:spacing w:before="156" w:beforeLines="50" w:after="156" w:afterLines="50" w:line="24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投标文件的组成</w:t>
      </w:r>
    </w:p>
    <w:p w14:paraId="15F3F433">
      <w:pPr>
        <w:pStyle w:val="13"/>
        <w:spacing w:before="156" w:beforeLines="50" w:after="156" w:afterLines="50" w:line="240" w:lineRule="auto"/>
        <w:ind w:firstLine="2420" w:firstLineChars="550"/>
        <w:rPr>
          <w:rFonts w:hint="eastAsia" w:ascii="宋体" w:hAnsi="宋体" w:eastAsia="宋体" w:cs="宋体"/>
          <w:color w:val="auto"/>
          <w:sz w:val="44"/>
          <w:szCs w:val="44"/>
          <w:highlight w:val="none"/>
        </w:rPr>
      </w:pPr>
    </w:p>
    <w:p w14:paraId="3FF8C01A">
      <w:pPr>
        <w:pStyle w:val="13"/>
        <w:spacing w:line="720" w:lineRule="auto"/>
        <w:ind w:firstLine="54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1、投标承诺函及附表（格式）</w:t>
      </w:r>
    </w:p>
    <w:p w14:paraId="617C51F4">
      <w:pPr>
        <w:pStyle w:val="13"/>
        <w:spacing w:line="720" w:lineRule="auto"/>
        <w:ind w:firstLine="480" w:firstLineChars="20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法定代表人资格证明书、法定代表人授权委托书（格式</w:t>
      </w:r>
      <w:r>
        <w:rPr>
          <w:rFonts w:hint="eastAsia" w:ascii="宋体" w:hAnsi="宋体" w:eastAsia="宋体" w:cs="Times New Roman"/>
          <w:color w:val="auto"/>
          <w:sz w:val="24"/>
          <w:szCs w:val="24"/>
          <w:highlight w:val="none"/>
        </w:rPr>
        <w:t>）</w:t>
      </w:r>
    </w:p>
    <w:p w14:paraId="211B2700">
      <w:pPr>
        <w:pStyle w:val="13"/>
        <w:spacing w:line="720" w:lineRule="auto"/>
        <w:ind w:firstLine="540"/>
        <w:jc w:val="both"/>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注：投标承诺函中企业信息（营业执照、资质证书、安全生产许可证等）和项目负责人信息（建造师证、安全考核证等）应</w:t>
      </w:r>
      <w:r>
        <w:rPr>
          <w:rFonts w:hint="eastAsia" w:ascii="宋体" w:hAnsi="宋体" w:eastAsia="宋体" w:cs="Times New Roman"/>
          <w:color w:val="auto"/>
          <w:sz w:val="24"/>
          <w:szCs w:val="24"/>
          <w:highlight w:val="none"/>
          <w:lang w:val="en-US" w:eastAsia="zh-CN"/>
        </w:rPr>
        <w:t>附上原件扫描件并</w:t>
      </w:r>
      <w:r>
        <w:rPr>
          <w:rFonts w:hint="eastAsia" w:ascii="宋体" w:hAnsi="宋体" w:eastAsia="宋体" w:cs="Times New Roman"/>
          <w:color w:val="auto"/>
          <w:sz w:val="24"/>
          <w:szCs w:val="24"/>
          <w:highlight w:val="none"/>
        </w:rPr>
        <w:t>加盖公章，否则按废标处理。</w:t>
      </w:r>
    </w:p>
    <w:p w14:paraId="483BCD2D">
      <w:pPr>
        <w:wordWrap w:val="0"/>
        <w:spacing w:line="360" w:lineRule="auto"/>
        <w:ind w:firstLine="470" w:firstLineChars="195"/>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上述证书、证件、证明资料均采用原件扫描件上传。投标文件每页须加盖单位章。</w:t>
      </w:r>
    </w:p>
    <w:p w14:paraId="7E9F0D15">
      <w:pPr>
        <w:pStyle w:val="13"/>
        <w:spacing w:line="720" w:lineRule="auto"/>
        <w:ind w:firstLine="540"/>
        <w:jc w:val="both"/>
        <w:rPr>
          <w:rFonts w:hint="eastAsia" w:ascii="宋体" w:hAnsi="宋体" w:eastAsia="宋体" w:cs="Times New Roman"/>
          <w:color w:val="auto"/>
          <w:sz w:val="24"/>
          <w:szCs w:val="24"/>
          <w:highlight w:val="none"/>
        </w:rPr>
      </w:pPr>
    </w:p>
    <w:p w14:paraId="13E808BE">
      <w:pPr>
        <w:rPr>
          <w:rFonts w:hint="eastAsia" w:ascii="宋体" w:hAnsi="宋体" w:eastAsia="宋体" w:cs="宋体"/>
          <w:color w:val="auto"/>
          <w:highlight w:val="none"/>
        </w:rPr>
      </w:pPr>
    </w:p>
    <w:p w14:paraId="793D0E2A">
      <w:pPr>
        <w:pStyle w:val="5"/>
        <w:pageBreakBefore/>
        <w:spacing w:line="415" w:lineRule="auto"/>
        <w:jc w:val="center"/>
        <w:rPr>
          <w:rFonts w:hint="eastAsia" w:ascii="宋体" w:hAnsi="宋体" w:eastAsia="宋体" w:cs="宋体"/>
          <w:color w:val="auto"/>
          <w:sz w:val="36"/>
          <w:highlight w:val="none"/>
        </w:rPr>
      </w:pPr>
      <w:r>
        <w:rPr>
          <w:rFonts w:hint="eastAsia" w:ascii="宋体" w:hAnsi="宋体" w:eastAsia="宋体" w:cs="宋体"/>
          <w:color w:val="auto"/>
          <w:sz w:val="36"/>
          <w:highlight w:val="none"/>
        </w:rPr>
        <w:t>1、投标承诺函</w:t>
      </w:r>
    </w:p>
    <w:p w14:paraId="50E16638">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{招标人名称}   </w:t>
      </w:r>
    </w:p>
    <w:p w14:paraId="21E2CA67">
      <w:pPr>
        <w:tabs>
          <w:tab w:val="left" w:pos="7560"/>
        </w:tabs>
        <w:spacing w:line="440" w:lineRule="exact"/>
        <w:ind w:firstLine="49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1、根据你方招标工程项目编号为</w:t>
      </w:r>
      <w:r>
        <w:rPr>
          <w:rFonts w:hint="eastAsia" w:ascii="宋体" w:hAnsi="宋体" w:eastAsia="宋体" w:cs="宋体"/>
          <w:color w:val="auto"/>
          <w:sz w:val="24"/>
          <w:highlight w:val="none"/>
          <w:u w:val="single"/>
        </w:rPr>
        <w:t xml:space="preserve">    {招标编号}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{招标工程项目名称}      </w:t>
      </w:r>
      <w:r>
        <w:rPr>
          <w:rFonts w:hint="eastAsia" w:ascii="宋体" w:hAnsi="宋体" w:eastAsia="宋体" w:cs="宋体"/>
          <w:color w:val="auto"/>
          <w:sz w:val="24"/>
          <w:highlight w:val="none"/>
        </w:rPr>
        <w:t>工程招标文件，按照《莆田市小额工程施工发包承包暂行规定》等有关规定，经踏勘项目现场和研究上述招标文件的投标须知、合同条款、图纸、工程建设标准和工程量清单、工程预算价、工程最高限价及其他有关文件后，我方愿以人民币（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元（RMB：￥</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元）并按上述图纸、合同条款、工程建设标准和工程量清单（如有时）的条件要求承包上述工程的施工、竣工，并承担任何质量缺陷保修责任。</w:t>
      </w:r>
    </w:p>
    <w:p w14:paraId="5C0C9182">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2、我方已详细审核全部招标文件，包括答疑内容（如有时）及有关附件。并保证我方的投标文件是真实和准确的，若有弄虚作假的，愿承担法律和经济责任。</w:t>
      </w:r>
    </w:p>
    <w:p w14:paraId="7C74B2A2">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3、一旦我方中标，我方保证按招标文件中规定的要求工期</w:t>
      </w:r>
      <w:r>
        <w:rPr>
          <w:rFonts w:hint="eastAsia" w:ascii="宋体" w:hAnsi="宋体" w:eastAsia="宋体" w:cs="宋体"/>
          <w:color w:val="auto"/>
          <w:sz w:val="24"/>
          <w:highlight w:val="none"/>
          <w:u w:val="single"/>
        </w:rPr>
        <w:t xml:space="preserve">     {工期}    </w:t>
      </w:r>
      <w:r>
        <w:rPr>
          <w:rFonts w:hint="eastAsia" w:ascii="宋体" w:hAnsi="宋体" w:eastAsia="宋体" w:cs="宋体"/>
          <w:color w:val="auto"/>
          <w:sz w:val="24"/>
          <w:highlight w:val="none"/>
        </w:rPr>
        <w:t>日历天内完成并移交全部工程，工程质量达到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标准。</w:t>
      </w:r>
    </w:p>
    <w:p w14:paraId="1FA9E4FD">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Times New Roman"/>
          <w:color w:val="auto"/>
          <w:sz w:val="24"/>
          <w:highlight w:val="none"/>
        </w:rPr>
        <w:t>一旦我方中标，我方将派</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为本工程项目经理( 建造师证书注册编号</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，项目经理安全生产考核证编号</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)。我方保证该建造师目前无承担其他在建工程施工任务。</w:t>
      </w:r>
    </w:p>
    <w:p w14:paraId="6A09A68B">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Times New Roman"/>
          <w:color w:val="auto"/>
          <w:sz w:val="24"/>
          <w:highlight w:val="none"/>
        </w:rPr>
        <w:t>一旦我方中标，我方保证按招标文件要求配备项目技术负责人及其他项目管理人员。并保证拟派出的主要施工管理人员在施工期间到位。</w:t>
      </w:r>
    </w:p>
    <w:p w14:paraId="69D7F312">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6、我方承诺我单位及项目负责人在检察部门没有行贿犯罪记录。</w:t>
      </w:r>
    </w:p>
    <w:p w14:paraId="7804A78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7、一旦我方中标，我方将按照招标文件的规定向招标人缴交履约担保金。</w:t>
      </w:r>
    </w:p>
    <w:p w14:paraId="0F11D59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8、一旦我方中标，我方保证按法律、法规和《莆田市建筑垃圾处置管理办法》等要求处置建筑垃圾，不与不具备资质的渣土企业签订运输合同。</w:t>
      </w:r>
    </w:p>
    <w:p w14:paraId="267798AB">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9、除非另外达成协议并生效，你方的中标通知书和本投标文件将成为约束双方的合同文件的组成部分。</w:t>
      </w:r>
    </w:p>
    <w:p w14:paraId="48736D12">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10、我方承诺，项目管理人员符合本项目管理班子配备标准要求。拟用于本招标工程项目的主要施工机械设备不少于招标文件规定的各种机械设备数量的最低要求且满足施工要求。</w:t>
      </w:r>
    </w:p>
    <w:p w14:paraId="5E9ADCB0">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11、我方承诺，在项目建设期间严格执行国家工资支付规定，不拖欠或克扣农民工工资，否则招标人有权在工程款中扣除相应部分用于支付农民工工资，期间农民工上访及其他一切后果由我方自行承担。（省外入闽建筑业企业和近三年内发生过拖欠、克扣劳动者工资行为而被列入欠薪黑名单的本省建筑业企业同时承诺缴纳工资保证金）</w:t>
      </w:r>
    </w:p>
    <w:p w14:paraId="2BFA7769">
      <w:pPr>
        <w:spacing w:line="440" w:lineRule="exact"/>
        <w:ind w:firstLine="490"/>
        <w:rPr>
          <w:rFonts w:hint="eastAsia" w:ascii="宋体" w:hAnsi="宋体" w:eastAsia="宋体" w:cs="宋体"/>
          <w:color w:val="auto"/>
          <w:sz w:val="24"/>
          <w:highlight w:val="none"/>
        </w:rPr>
      </w:pPr>
      <w:r>
        <w:rPr>
          <w:rFonts w:hint="eastAsia" w:ascii="宋体" w:hAnsi="宋体" w:eastAsia="宋体" w:cs="宋体"/>
          <w:color w:val="auto"/>
          <w:sz w:val="24"/>
          <w:highlight w:val="none"/>
        </w:rPr>
        <w:t>12、我方承诺，近三个月被县（区）级及以上行政监督部门通报批评记不良行为记录并在全国水利建设市场监管服务平台、福建省水利建设市场信用信息平台、莆田市水利信息网或莆田市城厢区人民政府网（http://www.chengxiang.gov.cn/）公告的企业及其专业人员不得参加本招标项目的投标，通报中明确限制期限超过三个月的按通报执行。</w:t>
      </w:r>
    </w:p>
    <w:p w14:paraId="2D088673">
      <w:pPr>
        <w:spacing w:line="440" w:lineRule="exact"/>
        <w:ind w:firstLine="490"/>
        <w:rPr>
          <w:rFonts w:hint="eastAsia" w:ascii="宋体" w:hAnsi="宋体" w:eastAsia="宋体" w:cs="Times New Roman"/>
          <w:color w:val="auto"/>
          <w:sz w:val="24"/>
          <w:highlight w:val="none"/>
        </w:rPr>
      </w:pPr>
    </w:p>
    <w:p w14:paraId="1B2F0624">
      <w:pPr>
        <w:spacing w:line="440" w:lineRule="exact"/>
        <w:ind w:firstLine="49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附表一    投标人一般情况表</w:t>
      </w:r>
    </w:p>
    <w:p w14:paraId="4DD5B5D8">
      <w:pPr>
        <w:spacing w:line="440" w:lineRule="exact"/>
        <w:ind w:firstLine="49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附表二    财务状况表</w:t>
      </w:r>
    </w:p>
    <w:p w14:paraId="33D7880B">
      <w:pPr>
        <w:spacing w:line="440" w:lineRule="exact"/>
        <w:ind w:firstLine="480" w:firstLineChars="200"/>
        <w:rPr>
          <w:rFonts w:hint="eastAsia" w:ascii="宋体" w:hAnsi="宋体" w:eastAsia="宋体" w:cs="Times New Roman"/>
          <w:b/>
          <w:color w:val="auto"/>
          <w:sz w:val="32"/>
          <w:szCs w:val="32"/>
          <w:highlight w:val="none"/>
        </w:rPr>
      </w:pPr>
      <w:r>
        <w:rPr>
          <w:rFonts w:hint="eastAsia" w:ascii="宋体" w:hAnsi="宋体" w:eastAsia="宋体" w:cs="Times New Roman"/>
          <w:color w:val="auto"/>
          <w:sz w:val="24"/>
          <w:highlight w:val="none"/>
        </w:rPr>
        <w:t>附表三    项目管理人员配备标准表</w:t>
      </w:r>
    </w:p>
    <w:p w14:paraId="7FCA8E0C">
      <w:pPr>
        <w:spacing w:line="440" w:lineRule="exact"/>
        <w:ind w:firstLine="490"/>
        <w:rPr>
          <w:rFonts w:hint="eastAsia" w:ascii="宋体" w:hAnsi="宋体" w:eastAsia="宋体" w:cs="宋体"/>
          <w:color w:val="auto"/>
          <w:sz w:val="24"/>
          <w:highlight w:val="none"/>
        </w:rPr>
      </w:pPr>
    </w:p>
    <w:p w14:paraId="1C32C6C3">
      <w:pPr>
        <w:spacing w:line="440" w:lineRule="exact"/>
        <w:ind w:left="1000" w:leftChars="476" w:firstLine="700" w:firstLineChars="29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 标 人：</w:t>
      </w:r>
      <w:r>
        <w:rPr>
          <w:rFonts w:hint="eastAsia" w:ascii="宋体" w:hAnsi="宋体" w:eastAsia="宋体" w:cs="宋体"/>
          <w:color w:val="auto"/>
          <w:sz w:val="24"/>
          <w:highlight w:val="none"/>
          <w:u w:val="single"/>
        </w:rPr>
        <w:t xml:space="preserve">                                    （盖</w:t>
      </w:r>
      <w:r>
        <w:rPr>
          <w:rFonts w:hint="eastAsia" w:ascii="宋体" w:hAnsi="宋体" w:eastAsia="宋体" w:cs="宋体"/>
          <w:color w:val="auto"/>
          <w:sz w:val="24"/>
          <w:highlight w:val="none"/>
          <w:u w:val="single"/>
          <w:lang w:val="en-US" w:eastAsia="zh-CN"/>
        </w:rPr>
        <w:t>单位公</w:t>
      </w:r>
      <w:r>
        <w:rPr>
          <w:rFonts w:hint="eastAsia" w:ascii="宋体" w:hAnsi="宋体" w:eastAsia="宋体" w:cs="宋体"/>
          <w:color w:val="auto"/>
          <w:sz w:val="24"/>
          <w:highlight w:val="none"/>
          <w:u w:val="single"/>
        </w:rPr>
        <w:t>章）</w:t>
      </w:r>
    </w:p>
    <w:p w14:paraId="5D3317E3">
      <w:pPr>
        <w:spacing w:line="440" w:lineRule="exact"/>
        <w:ind w:left="1000" w:leftChars="476"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单位地址：__________</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_________________________</w:t>
      </w:r>
    </w:p>
    <w:p w14:paraId="4BA9FAE9">
      <w:pPr>
        <w:spacing w:line="440" w:lineRule="exact"/>
        <w:ind w:left="1000" w:leftChars="476"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（签字</w:t>
      </w:r>
      <w:r>
        <w:rPr>
          <w:rFonts w:hint="eastAsia" w:ascii="宋体" w:hAnsi="宋体" w:eastAsia="宋体" w:cs="宋体"/>
          <w:color w:val="auto"/>
          <w:sz w:val="24"/>
          <w:highlight w:val="none"/>
          <w:u w:val="single"/>
          <w:lang w:val="en-US" w:eastAsia="zh-CN"/>
        </w:rPr>
        <w:t>或</w:t>
      </w:r>
      <w:r>
        <w:rPr>
          <w:rFonts w:hint="eastAsia" w:ascii="宋体" w:hAnsi="宋体" w:eastAsia="宋体" w:cs="宋体"/>
          <w:color w:val="auto"/>
          <w:sz w:val="24"/>
          <w:highlight w:val="none"/>
          <w:u w:val="single"/>
        </w:rPr>
        <w:t>盖章）</w:t>
      </w:r>
    </w:p>
    <w:p w14:paraId="5AE8404D">
      <w:pPr>
        <w:spacing w:line="440" w:lineRule="exact"/>
        <w:ind w:left="1000" w:leftChars="476"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邮政编码：__________电话: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传真：_____________</w:t>
      </w:r>
    </w:p>
    <w:p w14:paraId="74391FB3">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96347CF">
      <w:pPr>
        <w:pageBreakBefore/>
        <w:spacing w:line="360" w:lineRule="auto"/>
        <w:rPr>
          <w:rFonts w:hint="eastAsia" w:ascii="Times New Roman" w:hAnsi="Times New Roman" w:eastAsia="宋体" w:cs="Times New Roman"/>
          <w:color w:val="auto"/>
          <w:sz w:val="32"/>
          <w:szCs w:val="32"/>
          <w:highlight w:val="none"/>
        </w:rPr>
      </w:pPr>
      <w:r>
        <w:rPr>
          <w:rFonts w:hint="eastAsia" w:ascii="宋体" w:hAnsi="宋体" w:eastAsia="宋体" w:cs="Times New Roman"/>
          <w:color w:val="auto"/>
          <w:sz w:val="32"/>
          <w:szCs w:val="32"/>
          <w:highlight w:val="none"/>
        </w:rPr>
        <w:t>附表一</w:t>
      </w:r>
    </w:p>
    <w:p w14:paraId="5B951286">
      <w:pPr>
        <w:pStyle w:val="5"/>
        <w:tabs>
          <w:tab w:val="left" w:pos="720"/>
        </w:tabs>
        <w:spacing w:before="0" w:after="0" w:line="360" w:lineRule="auto"/>
        <w:jc w:val="center"/>
        <w:rPr>
          <w:rFonts w:hint="eastAsia" w:ascii="Times New Roman" w:hAnsi="Times New Roman" w:eastAsia="宋体" w:cs="Times New Roman"/>
          <w:color w:val="auto"/>
          <w:sz w:val="36"/>
          <w:szCs w:val="36"/>
          <w:highlight w:val="none"/>
        </w:rPr>
      </w:pPr>
      <w:r>
        <w:rPr>
          <w:rFonts w:hint="eastAsia" w:ascii="Times New Roman" w:hAnsi="Times New Roman" w:eastAsia="宋体" w:cs="Times New Roman"/>
          <w:color w:val="auto"/>
          <w:sz w:val="36"/>
          <w:szCs w:val="36"/>
          <w:highlight w:val="none"/>
        </w:rPr>
        <w:t>投标人一般情况表</w:t>
      </w:r>
    </w:p>
    <w:tbl>
      <w:tblPr>
        <w:tblStyle w:val="17"/>
        <w:tblW w:w="0" w:type="auto"/>
        <w:tblInd w:w="-7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4093"/>
        <w:gridCol w:w="4487"/>
      </w:tblGrid>
      <w:tr w14:paraId="7361D4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209970D5">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1</w:t>
            </w:r>
          </w:p>
        </w:tc>
        <w:tc>
          <w:tcPr>
            <w:tcW w:w="8580" w:type="dxa"/>
            <w:gridSpan w:val="2"/>
            <w:noWrap w:val="0"/>
            <w:vAlign w:val="center"/>
          </w:tcPr>
          <w:p w14:paraId="550328A8">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企业名称</w:t>
            </w:r>
          </w:p>
        </w:tc>
      </w:tr>
      <w:tr w14:paraId="68B8C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7E847AE7">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2</w:t>
            </w:r>
          </w:p>
        </w:tc>
        <w:tc>
          <w:tcPr>
            <w:tcW w:w="8580" w:type="dxa"/>
            <w:gridSpan w:val="2"/>
            <w:noWrap w:val="0"/>
            <w:vAlign w:val="center"/>
          </w:tcPr>
          <w:p w14:paraId="5E6A164E">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总部地址</w:t>
            </w:r>
          </w:p>
        </w:tc>
      </w:tr>
      <w:tr w14:paraId="4B010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3F94D8B0">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3</w:t>
            </w:r>
          </w:p>
        </w:tc>
        <w:tc>
          <w:tcPr>
            <w:tcW w:w="8580" w:type="dxa"/>
            <w:gridSpan w:val="2"/>
            <w:noWrap w:val="0"/>
            <w:vAlign w:val="center"/>
          </w:tcPr>
          <w:p w14:paraId="25269E62">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当地代表处地址</w:t>
            </w:r>
          </w:p>
        </w:tc>
      </w:tr>
      <w:tr w14:paraId="0D84A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0F6B8660">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4</w:t>
            </w:r>
          </w:p>
        </w:tc>
        <w:tc>
          <w:tcPr>
            <w:tcW w:w="4093" w:type="dxa"/>
            <w:noWrap w:val="0"/>
            <w:vAlign w:val="center"/>
          </w:tcPr>
          <w:p w14:paraId="554D8EEA">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电话</w:t>
            </w:r>
          </w:p>
        </w:tc>
        <w:tc>
          <w:tcPr>
            <w:tcW w:w="4487" w:type="dxa"/>
            <w:noWrap w:val="0"/>
            <w:vAlign w:val="center"/>
          </w:tcPr>
          <w:p w14:paraId="2E3CAF69">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联系人</w:t>
            </w:r>
          </w:p>
        </w:tc>
      </w:tr>
      <w:tr w14:paraId="45D51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611F72F6">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5</w:t>
            </w:r>
          </w:p>
        </w:tc>
        <w:tc>
          <w:tcPr>
            <w:tcW w:w="4093" w:type="dxa"/>
            <w:noWrap w:val="0"/>
            <w:vAlign w:val="center"/>
          </w:tcPr>
          <w:p w14:paraId="2E7A179A">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传真</w:t>
            </w:r>
          </w:p>
        </w:tc>
        <w:tc>
          <w:tcPr>
            <w:tcW w:w="4487" w:type="dxa"/>
            <w:noWrap w:val="0"/>
            <w:vAlign w:val="center"/>
          </w:tcPr>
          <w:p w14:paraId="56EFFEA6">
            <w:pPr>
              <w:spacing w:line="360" w:lineRule="auto"/>
              <w:rPr>
                <w:rFonts w:ascii="宋体" w:hAnsi="宋体" w:eastAsia="宋体" w:cs="Times New Roman"/>
                <w:color w:val="auto"/>
                <w:sz w:val="24"/>
                <w:highlight w:val="none"/>
              </w:rPr>
            </w:pPr>
            <w:r>
              <w:rPr>
                <w:rFonts w:hint="eastAsia" w:ascii="宋体" w:hAnsi="宋体" w:eastAsia="宋体" w:cs="Times New Roman"/>
                <w:color w:val="auto"/>
                <w:sz w:val="24"/>
                <w:highlight w:val="none"/>
              </w:rPr>
              <w:t>电子邮箱</w:t>
            </w:r>
          </w:p>
        </w:tc>
      </w:tr>
      <w:tr w14:paraId="22437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1F598F63">
            <w:pPr>
              <w:spacing w:line="360" w:lineRule="auto"/>
              <w:jc w:val="center"/>
              <w:rPr>
                <w:rFonts w:ascii="宋体" w:hAnsi="宋体" w:eastAsia="宋体" w:cs="Times New Roman"/>
                <w:color w:val="auto"/>
                <w:sz w:val="24"/>
                <w:highlight w:val="none"/>
              </w:rPr>
            </w:pPr>
            <w:r>
              <w:rPr>
                <w:rFonts w:ascii="宋体" w:hAnsi="宋体" w:eastAsia="宋体" w:cs="Times New Roman"/>
                <w:color w:val="auto"/>
                <w:sz w:val="24"/>
                <w:highlight w:val="none"/>
              </w:rPr>
              <w:t>6</w:t>
            </w:r>
          </w:p>
        </w:tc>
        <w:tc>
          <w:tcPr>
            <w:tcW w:w="8580" w:type="dxa"/>
            <w:gridSpan w:val="2"/>
            <w:noWrap w:val="0"/>
            <w:vAlign w:val="center"/>
          </w:tcPr>
          <w:p w14:paraId="084AF692">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营业执照注册号</w:t>
            </w:r>
          </w:p>
        </w:tc>
      </w:tr>
      <w:tr w14:paraId="2DB0B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0" w:hRule="atLeast"/>
        </w:trPr>
        <w:tc>
          <w:tcPr>
            <w:tcW w:w="705" w:type="dxa"/>
            <w:noWrap w:val="0"/>
            <w:vAlign w:val="center"/>
          </w:tcPr>
          <w:p w14:paraId="1C73BB41">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w:t>
            </w:r>
          </w:p>
        </w:tc>
        <w:tc>
          <w:tcPr>
            <w:tcW w:w="8580" w:type="dxa"/>
            <w:gridSpan w:val="2"/>
            <w:noWrap w:val="0"/>
            <w:vAlign w:val="center"/>
          </w:tcPr>
          <w:p w14:paraId="7D85626E">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企业资质等级证书号                  </w:t>
            </w:r>
          </w:p>
        </w:tc>
      </w:tr>
      <w:tr w14:paraId="2B1464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20" w:hRule="atLeast"/>
        </w:trPr>
        <w:tc>
          <w:tcPr>
            <w:tcW w:w="705" w:type="dxa"/>
            <w:tcBorders>
              <w:bottom w:val="single" w:color="auto" w:sz="4" w:space="0"/>
              <w:right w:val="single" w:color="auto" w:sz="4" w:space="0"/>
            </w:tcBorders>
            <w:noWrap w:val="0"/>
            <w:vAlign w:val="center"/>
          </w:tcPr>
          <w:p w14:paraId="405D619A">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w:t>
            </w:r>
          </w:p>
        </w:tc>
        <w:tc>
          <w:tcPr>
            <w:tcW w:w="8580" w:type="dxa"/>
            <w:gridSpan w:val="2"/>
            <w:tcBorders>
              <w:left w:val="single" w:color="auto" w:sz="4" w:space="0"/>
              <w:bottom w:val="single" w:color="auto" w:sz="4" w:space="0"/>
            </w:tcBorders>
            <w:noWrap w:val="0"/>
            <w:vAlign w:val="center"/>
          </w:tcPr>
          <w:p w14:paraId="1B92758B">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企业安全生产许可证号</w:t>
            </w:r>
          </w:p>
        </w:tc>
      </w:tr>
      <w:tr w14:paraId="38E0A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8" w:hRule="atLeast"/>
        </w:trPr>
        <w:tc>
          <w:tcPr>
            <w:tcW w:w="705" w:type="dxa"/>
            <w:vMerge w:val="restart"/>
            <w:tcBorders>
              <w:top w:val="single" w:color="auto" w:sz="4" w:space="0"/>
              <w:right w:val="single" w:color="auto" w:sz="4" w:space="0"/>
            </w:tcBorders>
            <w:noWrap w:val="0"/>
            <w:vAlign w:val="center"/>
          </w:tcPr>
          <w:p w14:paraId="0ABE8CF3">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w:t>
            </w:r>
          </w:p>
        </w:tc>
        <w:tc>
          <w:tcPr>
            <w:tcW w:w="8580" w:type="dxa"/>
            <w:gridSpan w:val="2"/>
            <w:tcBorders>
              <w:top w:val="single" w:color="auto" w:sz="4" w:space="0"/>
              <w:left w:val="single" w:color="auto" w:sz="4" w:space="0"/>
              <w:bottom w:val="single" w:color="auto" w:sz="4" w:space="0"/>
            </w:tcBorders>
            <w:noWrap w:val="0"/>
            <w:vAlign w:val="center"/>
          </w:tcPr>
          <w:p w14:paraId="0B6C8E7D">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经营范围</w:t>
            </w:r>
          </w:p>
          <w:p w14:paraId="0DD1B91F">
            <w:pPr>
              <w:spacing w:line="360" w:lineRule="auto"/>
              <w:rPr>
                <w:rFonts w:hint="eastAsia" w:ascii="宋体" w:hAnsi="宋体" w:eastAsia="宋体" w:cs="Times New Roman"/>
                <w:color w:val="auto"/>
                <w:sz w:val="24"/>
                <w:highlight w:val="none"/>
              </w:rPr>
            </w:pPr>
          </w:p>
        </w:tc>
      </w:tr>
      <w:tr w14:paraId="4F4F2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right w:val="single" w:color="auto" w:sz="4" w:space="0"/>
            </w:tcBorders>
            <w:noWrap w:val="0"/>
            <w:vAlign w:val="center"/>
          </w:tcPr>
          <w:p w14:paraId="456D2B7B">
            <w:pPr>
              <w:spacing w:line="360" w:lineRule="auto"/>
              <w:jc w:val="center"/>
              <w:rPr>
                <w:rFonts w:hint="eastAsia" w:ascii="宋体" w:hAnsi="宋体" w:eastAsia="宋体" w:cs="Times New Roman"/>
                <w:color w:val="auto"/>
                <w:sz w:val="24"/>
                <w:highlight w:val="none"/>
              </w:rPr>
            </w:pPr>
          </w:p>
        </w:tc>
        <w:tc>
          <w:tcPr>
            <w:tcW w:w="8580" w:type="dxa"/>
            <w:gridSpan w:val="2"/>
            <w:tcBorders>
              <w:top w:val="single" w:color="auto" w:sz="4" w:space="0"/>
              <w:left w:val="single" w:color="auto" w:sz="4" w:space="0"/>
              <w:bottom w:val="single" w:color="auto" w:sz="4" w:space="0"/>
            </w:tcBorders>
            <w:noWrap w:val="0"/>
            <w:vAlign w:val="center"/>
          </w:tcPr>
          <w:p w14:paraId="23D92FB6">
            <w:pPr>
              <w:spacing w:line="36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1</w:t>
            </w:r>
          </w:p>
          <w:p w14:paraId="09345C0A">
            <w:pPr>
              <w:spacing w:line="360" w:lineRule="auto"/>
              <w:rPr>
                <w:rFonts w:hint="eastAsia" w:ascii="宋体" w:hAnsi="宋体" w:eastAsia="宋体" w:cs="Times New Roman"/>
                <w:color w:val="auto"/>
                <w:sz w:val="24"/>
                <w:highlight w:val="none"/>
              </w:rPr>
            </w:pPr>
          </w:p>
        </w:tc>
      </w:tr>
      <w:tr w14:paraId="7561A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00" w:hRule="atLeast"/>
        </w:trPr>
        <w:tc>
          <w:tcPr>
            <w:tcW w:w="705" w:type="dxa"/>
            <w:vMerge w:val="continue"/>
            <w:tcBorders>
              <w:bottom w:val="single" w:color="auto" w:sz="4" w:space="0"/>
              <w:right w:val="single" w:color="auto" w:sz="4" w:space="0"/>
            </w:tcBorders>
            <w:noWrap w:val="0"/>
            <w:vAlign w:val="center"/>
          </w:tcPr>
          <w:p w14:paraId="55F3749D">
            <w:pPr>
              <w:spacing w:line="360" w:lineRule="auto"/>
              <w:jc w:val="center"/>
              <w:rPr>
                <w:rFonts w:hint="eastAsia" w:ascii="宋体" w:hAnsi="宋体" w:eastAsia="宋体" w:cs="Times New Roman"/>
                <w:color w:val="auto"/>
                <w:sz w:val="24"/>
                <w:highlight w:val="none"/>
              </w:rPr>
            </w:pPr>
          </w:p>
        </w:tc>
        <w:tc>
          <w:tcPr>
            <w:tcW w:w="8580" w:type="dxa"/>
            <w:gridSpan w:val="2"/>
            <w:tcBorders>
              <w:top w:val="single" w:color="auto" w:sz="4" w:space="0"/>
              <w:left w:val="single" w:color="auto" w:sz="4" w:space="0"/>
              <w:bottom w:val="single" w:color="auto" w:sz="4" w:space="0"/>
            </w:tcBorders>
            <w:noWrap w:val="0"/>
            <w:vAlign w:val="center"/>
          </w:tcPr>
          <w:p w14:paraId="12A71F99">
            <w:pPr>
              <w:spacing w:line="360" w:lineRule="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2</w:t>
            </w:r>
          </w:p>
          <w:p w14:paraId="703B1304">
            <w:pPr>
              <w:spacing w:line="360" w:lineRule="auto"/>
              <w:rPr>
                <w:rFonts w:ascii="宋体" w:hAnsi="宋体" w:eastAsia="宋体" w:cs="Times New Roman"/>
                <w:color w:val="auto"/>
                <w:sz w:val="24"/>
                <w:highlight w:val="none"/>
                <w:u w:val="single"/>
              </w:rPr>
            </w:pPr>
          </w:p>
        </w:tc>
      </w:tr>
      <w:tr w14:paraId="347A9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705" w:type="dxa"/>
            <w:noWrap w:val="0"/>
            <w:vAlign w:val="center"/>
          </w:tcPr>
          <w:p w14:paraId="5863227A">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w:t>
            </w:r>
          </w:p>
        </w:tc>
        <w:tc>
          <w:tcPr>
            <w:tcW w:w="8580" w:type="dxa"/>
            <w:gridSpan w:val="2"/>
            <w:noWrap w:val="0"/>
            <w:vAlign w:val="center"/>
          </w:tcPr>
          <w:p w14:paraId="06472EBC">
            <w:pPr>
              <w:spacing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其他需要说明的情况</w:t>
            </w:r>
          </w:p>
        </w:tc>
      </w:tr>
    </w:tbl>
    <w:p w14:paraId="0FA8F790">
      <w:pPr>
        <w:spacing w:line="360" w:lineRule="auto"/>
        <w:ind w:left="361" w:hanging="361" w:hangingChars="150"/>
        <w:rPr>
          <w:rFonts w:hint="eastAsia" w:ascii="宋体" w:hAnsi="宋体" w:eastAsia="宋体" w:cs="Times New Roman"/>
          <w:b/>
          <w:bCs/>
          <w:color w:val="auto"/>
          <w:sz w:val="24"/>
          <w:highlight w:val="none"/>
        </w:rPr>
      </w:pPr>
    </w:p>
    <w:p w14:paraId="47E6255B">
      <w:pPr>
        <w:spacing w:line="400" w:lineRule="exact"/>
        <w:ind w:firstLine="482" w:firstLineChars="200"/>
        <w:rPr>
          <w:rFonts w:hint="eastAsia" w:ascii="宋体" w:hAnsi="宋体" w:eastAsia="宋体" w:cs="Times New Roman"/>
          <w:color w:val="auto"/>
          <w:sz w:val="32"/>
          <w:szCs w:val="32"/>
          <w:highlight w:val="none"/>
        </w:rPr>
      </w:pPr>
      <w:r>
        <w:rPr>
          <w:rFonts w:hint="eastAsia" w:ascii="宋体" w:hAnsi="宋体" w:eastAsia="宋体" w:cs="Times New Roman"/>
          <w:b/>
          <w:bCs/>
          <w:color w:val="auto"/>
          <w:sz w:val="24"/>
          <w:highlight w:val="none"/>
        </w:rPr>
        <w:t>注</w:t>
      </w:r>
      <w:r>
        <w:rPr>
          <w:rFonts w:hint="eastAsia" w:ascii="宋体" w:hAnsi="宋体" w:eastAsia="宋体" w:cs="Times New Roman"/>
          <w:b/>
          <w:color w:val="auto"/>
          <w:sz w:val="24"/>
          <w:highlight w:val="none"/>
        </w:rPr>
        <w:t>：须附营业执照</w:t>
      </w:r>
      <w:r>
        <w:rPr>
          <w:rFonts w:hint="eastAsia"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rPr>
        <w:t>资质证书、安全生产许可证</w:t>
      </w:r>
      <w:r>
        <w:rPr>
          <w:rFonts w:hint="eastAsia" w:ascii="宋体" w:hAnsi="宋体" w:eastAsia="宋体" w:cs="Times New Roman"/>
          <w:b/>
          <w:color w:val="auto"/>
          <w:sz w:val="24"/>
          <w:highlight w:val="none"/>
          <w:lang w:val="en-US" w:eastAsia="zh-CN"/>
        </w:rPr>
        <w:t>原件扫描件，并</w:t>
      </w:r>
      <w:r>
        <w:rPr>
          <w:rFonts w:hint="eastAsia" w:ascii="宋体" w:hAnsi="宋体" w:eastAsia="宋体" w:cs="Times New Roman"/>
          <w:b/>
          <w:color w:val="auto"/>
          <w:sz w:val="24"/>
          <w:highlight w:val="none"/>
        </w:rPr>
        <w:t>加盖</w:t>
      </w:r>
      <w:r>
        <w:rPr>
          <w:rFonts w:hint="eastAsia" w:ascii="宋体" w:hAnsi="宋体" w:eastAsia="宋体" w:cs="Times New Roman"/>
          <w:b/>
          <w:color w:val="auto"/>
          <w:sz w:val="24"/>
          <w:highlight w:val="none"/>
          <w:lang w:val="en-US" w:eastAsia="zh-CN"/>
        </w:rPr>
        <w:t>单位</w:t>
      </w:r>
      <w:r>
        <w:rPr>
          <w:rFonts w:hint="eastAsia" w:ascii="宋体" w:hAnsi="宋体" w:eastAsia="宋体" w:cs="Times New Roman"/>
          <w:b/>
          <w:color w:val="auto"/>
          <w:sz w:val="24"/>
          <w:highlight w:val="none"/>
        </w:rPr>
        <w:t>公章。</w:t>
      </w:r>
    </w:p>
    <w:p w14:paraId="744A3C27">
      <w:pPr>
        <w:spacing w:line="360" w:lineRule="auto"/>
        <w:ind w:left="361" w:hanging="361" w:hangingChars="150"/>
        <w:rPr>
          <w:rFonts w:hint="eastAsia" w:ascii="宋体" w:hAnsi="宋体" w:eastAsia="宋体" w:cs="Times New Roman"/>
          <w:b/>
          <w:color w:val="auto"/>
          <w:sz w:val="24"/>
          <w:highlight w:val="none"/>
        </w:rPr>
      </w:pPr>
    </w:p>
    <w:p w14:paraId="36DA3A64">
      <w:pPr>
        <w:spacing w:line="360" w:lineRule="auto"/>
        <w:ind w:left="6480" w:hanging="6480" w:hangingChars="2700"/>
        <w:jc w:val="righ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投标人：    </w:t>
      </w:r>
      <w:r>
        <w:rPr>
          <w:rFonts w:ascii="宋体" w:hAnsi="宋体" w:eastAsia="宋体" w:cs="å®‹ä½“"/>
          <w:color w:val="auto"/>
          <w:kern w:val="0"/>
          <w:sz w:val="24"/>
          <w:highlight w:val="none"/>
        </w:rPr>
        <w:t>(</w:t>
      </w:r>
      <w:r>
        <w:rPr>
          <w:rFonts w:hint="eastAsia" w:ascii="宋体" w:hAnsi="宋体" w:eastAsia="宋体" w:cs="瀹嬩綋"/>
          <w:color w:val="auto"/>
          <w:kern w:val="0"/>
          <w:sz w:val="24"/>
          <w:highlight w:val="none"/>
        </w:rPr>
        <w:t>盖单位公章</w:t>
      </w:r>
      <w:r>
        <w:rPr>
          <w:rFonts w:ascii="宋体" w:hAnsi="宋体" w:eastAsia="宋体" w:cs="å®‹ä½“"/>
          <w:color w:val="auto"/>
          <w:kern w:val="0"/>
          <w:sz w:val="24"/>
          <w:highlight w:val="none"/>
        </w:rPr>
        <w:t>)</w:t>
      </w:r>
      <w:r>
        <w:rPr>
          <w:rFonts w:hint="eastAsia" w:ascii="宋体" w:hAnsi="宋体" w:eastAsia="宋体" w:cs="Times New Roman"/>
          <w:color w:val="auto"/>
          <w:sz w:val="24"/>
          <w:highlight w:val="none"/>
        </w:rPr>
        <w:t xml:space="preserve">                                             </w:t>
      </w:r>
    </w:p>
    <w:p w14:paraId="21FF0A70">
      <w:pPr>
        <w:spacing w:line="360" w:lineRule="auto"/>
        <w:ind w:left="6480" w:right="480" w:hanging="6480" w:hangingChars="2700"/>
        <w:jc w:val="right"/>
        <w:rPr>
          <w:rFonts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年  月  日</w:t>
      </w:r>
    </w:p>
    <w:p w14:paraId="22A39FD1">
      <w:pPr>
        <w:pStyle w:val="13"/>
        <w:spacing w:before="156" w:beforeLines="50" w:after="156" w:afterLines="50" w:line="240" w:lineRule="auto"/>
        <w:jc w:val="both"/>
        <w:rPr>
          <w:rFonts w:hint="eastAsia" w:ascii="宋体" w:hAnsi="宋体" w:eastAsia="宋体" w:cs="宋体"/>
          <w:color w:val="auto"/>
          <w:highlight w:val="none"/>
        </w:rPr>
      </w:pPr>
    </w:p>
    <w:p w14:paraId="0FC407D5">
      <w:pPr>
        <w:pStyle w:val="13"/>
        <w:spacing w:before="156" w:beforeLines="50" w:after="156" w:afterLines="50" w:line="240" w:lineRule="auto"/>
        <w:jc w:val="both"/>
        <w:rPr>
          <w:rFonts w:hint="eastAsia" w:ascii="宋体" w:hAnsi="宋体" w:eastAsia="宋体" w:cs="宋体"/>
          <w:color w:val="auto"/>
          <w:highlight w:val="none"/>
        </w:rPr>
      </w:pPr>
    </w:p>
    <w:p w14:paraId="3087B1B0">
      <w:pPr>
        <w:spacing w:line="360" w:lineRule="auto"/>
        <w:rPr>
          <w:rFonts w:hint="eastAsia" w:ascii="Times New Roman" w:hAnsi="Times New Roman" w:eastAsia="宋体" w:cs="Times New Roman"/>
          <w:color w:val="auto"/>
          <w:sz w:val="32"/>
          <w:szCs w:val="32"/>
          <w:highlight w:val="none"/>
        </w:rPr>
      </w:pPr>
      <w:r>
        <w:rPr>
          <w:rFonts w:hint="eastAsia" w:ascii="宋体" w:hAnsi="宋体" w:eastAsia="宋体" w:cs="Times New Roman"/>
          <w:color w:val="auto"/>
          <w:sz w:val="32"/>
          <w:szCs w:val="32"/>
          <w:highlight w:val="none"/>
        </w:rPr>
        <w:t>附表二</w:t>
      </w:r>
    </w:p>
    <w:p w14:paraId="24E9B841">
      <w:pPr>
        <w:spacing w:line="360" w:lineRule="auto"/>
        <w:jc w:val="center"/>
        <w:rPr>
          <w:rFonts w:hint="eastAsia" w:ascii="宋体" w:hAnsi="宋体" w:eastAsia="宋体" w:cs="Times New Roman"/>
          <w:b/>
          <w:bCs/>
          <w:color w:val="auto"/>
          <w:sz w:val="36"/>
          <w:szCs w:val="36"/>
          <w:highlight w:val="none"/>
        </w:rPr>
      </w:pPr>
      <w:r>
        <w:rPr>
          <w:rFonts w:hint="eastAsia" w:ascii="宋体" w:hAnsi="宋体" w:eastAsia="宋体" w:cs="Times New Roman"/>
          <w:b/>
          <w:bCs/>
          <w:color w:val="auto"/>
          <w:sz w:val="36"/>
          <w:szCs w:val="36"/>
          <w:highlight w:val="none"/>
        </w:rPr>
        <w:t>财务状况表</w:t>
      </w:r>
    </w:p>
    <w:p w14:paraId="3B542CD1">
      <w:pPr>
        <w:spacing w:line="360" w:lineRule="auto"/>
        <w:rPr>
          <w:rFonts w:hint="eastAsia" w:ascii="宋体" w:hAnsi="宋体" w:eastAsia="宋体" w:cs="Times New Roman"/>
          <w:color w:val="auto"/>
          <w:sz w:val="28"/>
          <w:highlight w:val="none"/>
        </w:rPr>
      </w:pPr>
    </w:p>
    <w:p w14:paraId="0B3BFB0E">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基本账户开户银行情况</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7587"/>
      </w:tblGrid>
      <w:tr w14:paraId="042A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48EC219D">
            <w:pPr>
              <w:spacing w:line="360" w:lineRule="auto"/>
              <w:jc w:val="center"/>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开户银行</w:t>
            </w:r>
          </w:p>
        </w:tc>
        <w:tc>
          <w:tcPr>
            <w:tcW w:w="7587" w:type="dxa"/>
            <w:noWrap w:val="0"/>
            <w:vAlign w:val="top"/>
          </w:tcPr>
          <w:p w14:paraId="05E8D779">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名称：</w:t>
            </w:r>
          </w:p>
        </w:tc>
      </w:tr>
      <w:tr w14:paraId="6030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762CC861">
            <w:pPr>
              <w:spacing w:line="360" w:lineRule="auto"/>
              <w:jc w:val="center"/>
              <w:rPr>
                <w:rFonts w:hint="eastAsia" w:ascii="宋体" w:hAnsi="宋体" w:eastAsia="宋体" w:cs="Times New Roman"/>
                <w:b/>
                <w:bCs/>
                <w:color w:val="auto"/>
                <w:sz w:val="32"/>
                <w:highlight w:val="none"/>
              </w:rPr>
            </w:pPr>
          </w:p>
        </w:tc>
        <w:tc>
          <w:tcPr>
            <w:tcW w:w="7587" w:type="dxa"/>
            <w:noWrap w:val="0"/>
            <w:vAlign w:val="top"/>
          </w:tcPr>
          <w:p w14:paraId="3631D160">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地址：</w:t>
            </w:r>
          </w:p>
        </w:tc>
      </w:tr>
      <w:tr w14:paraId="5616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restart"/>
            <w:noWrap w:val="0"/>
            <w:vAlign w:val="center"/>
          </w:tcPr>
          <w:p w14:paraId="113A8AB4">
            <w:pPr>
              <w:spacing w:line="360" w:lineRule="auto"/>
              <w:jc w:val="center"/>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申 请 人</w:t>
            </w:r>
          </w:p>
          <w:p w14:paraId="4E2C28FB">
            <w:pPr>
              <w:spacing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8"/>
                <w:highlight w:val="none"/>
              </w:rPr>
              <w:t>基本账户</w:t>
            </w:r>
          </w:p>
        </w:tc>
        <w:tc>
          <w:tcPr>
            <w:tcW w:w="7587" w:type="dxa"/>
            <w:noWrap w:val="0"/>
            <w:vAlign w:val="top"/>
          </w:tcPr>
          <w:p w14:paraId="159F4BD4">
            <w:pPr>
              <w:pStyle w:val="9"/>
              <w:spacing w:line="360" w:lineRule="auto"/>
              <w:ind w:left="-48" w:leftChars="-23"/>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开户名称：</w:t>
            </w:r>
          </w:p>
        </w:tc>
      </w:tr>
      <w:tr w14:paraId="37AB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632" w:type="dxa"/>
            <w:vMerge w:val="continue"/>
            <w:noWrap w:val="0"/>
            <w:vAlign w:val="top"/>
          </w:tcPr>
          <w:p w14:paraId="22B999C4">
            <w:pPr>
              <w:spacing w:line="360" w:lineRule="auto"/>
              <w:jc w:val="center"/>
              <w:rPr>
                <w:rFonts w:hint="eastAsia" w:ascii="宋体" w:hAnsi="宋体" w:eastAsia="宋体" w:cs="Times New Roman"/>
                <w:color w:val="auto"/>
                <w:sz w:val="24"/>
                <w:highlight w:val="none"/>
              </w:rPr>
            </w:pPr>
          </w:p>
        </w:tc>
        <w:tc>
          <w:tcPr>
            <w:tcW w:w="7587" w:type="dxa"/>
            <w:noWrap w:val="0"/>
            <w:vAlign w:val="top"/>
          </w:tcPr>
          <w:p w14:paraId="397BFCF2">
            <w:pPr>
              <w:spacing w:line="360" w:lineRule="auto"/>
              <w:rPr>
                <w:rFonts w:hint="eastAsia" w:ascii="宋体" w:hAnsi="宋体" w:eastAsia="宋体" w:cs="Times New Roman"/>
                <w:color w:val="auto"/>
                <w:sz w:val="28"/>
                <w:highlight w:val="none"/>
              </w:rPr>
            </w:pPr>
            <w:r>
              <w:rPr>
                <w:rFonts w:hint="eastAsia" w:ascii="宋体" w:hAnsi="宋体" w:eastAsia="宋体" w:cs="Times New Roman"/>
                <w:color w:val="auto"/>
                <w:sz w:val="28"/>
                <w:highlight w:val="none"/>
              </w:rPr>
              <w:t>账户：</w:t>
            </w:r>
          </w:p>
        </w:tc>
      </w:tr>
    </w:tbl>
    <w:p w14:paraId="443063F5">
      <w:pPr>
        <w:spacing w:line="360" w:lineRule="auto"/>
        <w:rPr>
          <w:rFonts w:hint="eastAsia" w:ascii="Times New Roman" w:hAnsi="Times New Roman" w:eastAsia="宋体" w:cs="Times New Roman"/>
          <w:color w:val="auto"/>
          <w:sz w:val="24"/>
          <w:highlight w:val="none"/>
        </w:rPr>
      </w:pPr>
    </w:p>
    <w:p w14:paraId="14E651DA">
      <w:pPr>
        <w:spacing w:line="360" w:lineRule="auto"/>
        <w:rPr>
          <w:rFonts w:hint="eastAsia" w:ascii="宋体" w:hAnsi="宋体" w:eastAsia="宋体" w:cs="Times New Roman"/>
          <w:color w:val="auto"/>
          <w:sz w:val="24"/>
          <w:highlight w:val="none"/>
        </w:rPr>
      </w:pPr>
      <w:r>
        <w:rPr>
          <w:rFonts w:hint="eastAsia" w:ascii="Times New Roman" w:hAnsi="Times New Roman" w:eastAsia="宋体" w:cs="Times New Roman"/>
          <w:color w:val="auto"/>
          <w:sz w:val="24"/>
          <w:highlight w:val="none"/>
        </w:rPr>
        <w:t>注：</w:t>
      </w:r>
      <w:r>
        <w:rPr>
          <w:rFonts w:hint="eastAsia" w:ascii="Times New Roman" w:hAnsi="Times New Roman" w:eastAsia="宋体" w:cs="Times New Roman"/>
          <w:b/>
          <w:color w:val="auto"/>
          <w:sz w:val="24"/>
          <w:highlight w:val="none"/>
        </w:rPr>
        <w:t>须附投标人基本账户开户许可证（或开户核准通知书）</w:t>
      </w:r>
      <w:r>
        <w:rPr>
          <w:rFonts w:hint="eastAsia" w:ascii="Times New Roman" w:hAnsi="Times New Roman" w:eastAsia="宋体" w:cs="Times New Roman"/>
          <w:color w:val="auto"/>
          <w:sz w:val="24"/>
          <w:highlight w:val="none"/>
          <w:lang w:val="en-US" w:eastAsia="zh-CN"/>
        </w:rPr>
        <w:t>原件扫描件</w:t>
      </w:r>
      <w:r>
        <w:rPr>
          <w:rFonts w:hint="eastAsia" w:ascii="Times New Roman" w:hAnsi="Times New Roman" w:eastAsia="宋体" w:cs="Times New Roman"/>
          <w:color w:val="auto"/>
          <w:sz w:val="24"/>
          <w:highlight w:val="none"/>
        </w:rPr>
        <w:t>并加盖</w:t>
      </w:r>
      <w:r>
        <w:rPr>
          <w:rFonts w:hint="eastAsia" w:ascii="Times New Roman" w:hAnsi="Times New Roman" w:eastAsia="宋体" w:cs="Times New Roman"/>
          <w:color w:val="auto"/>
          <w:sz w:val="24"/>
          <w:highlight w:val="none"/>
          <w:lang w:val="en-US" w:eastAsia="zh-CN"/>
        </w:rPr>
        <w:t>单位</w:t>
      </w:r>
      <w:r>
        <w:rPr>
          <w:rFonts w:hint="eastAsia" w:ascii="Times New Roman" w:hAnsi="Times New Roman" w:eastAsia="宋体" w:cs="Times New Roman"/>
          <w:color w:val="auto"/>
          <w:sz w:val="24"/>
          <w:highlight w:val="none"/>
        </w:rPr>
        <w:t>公章。</w:t>
      </w:r>
    </w:p>
    <w:p w14:paraId="68685D4E">
      <w:pPr>
        <w:spacing w:line="360" w:lineRule="auto"/>
        <w:rPr>
          <w:rFonts w:hint="eastAsia" w:ascii="宋体" w:hAnsi="宋体" w:eastAsia="宋体" w:cs="Times New Roman"/>
          <w:bCs/>
          <w:color w:val="auto"/>
          <w:sz w:val="24"/>
          <w:highlight w:val="none"/>
        </w:rPr>
      </w:pPr>
    </w:p>
    <w:p w14:paraId="3C864965">
      <w:pPr>
        <w:spacing w:line="360" w:lineRule="auto"/>
        <w:ind w:firstLine="5280" w:firstLineChars="2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投标人：</w:t>
      </w:r>
      <w:r>
        <w:rPr>
          <w:rFonts w:ascii="宋体" w:hAnsi="宋体" w:eastAsia="宋体" w:cs="å®‹ä½“"/>
          <w:color w:val="auto"/>
          <w:kern w:val="0"/>
          <w:sz w:val="24"/>
          <w:highlight w:val="none"/>
        </w:rPr>
        <w:t>(</w:t>
      </w:r>
      <w:r>
        <w:rPr>
          <w:rFonts w:hint="eastAsia" w:ascii="宋体" w:hAnsi="宋体" w:eastAsia="宋体" w:cs="瀹嬩綋"/>
          <w:color w:val="auto"/>
          <w:kern w:val="0"/>
          <w:sz w:val="24"/>
          <w:highlight w:val="none"/>
        </w:rPr>
        <w:t>盖单位公章</w:t>
      </w:r>
      <w:r>
        <w:rPr>
          <w:rFonts w:ascii="宋体" w:hAnsi="宋体" w:eastAsia="宋体" w:cs="å®‹ä½“"/>
          <w:color w:val="auto"/>
          <w:kern w:val="0"/>
          <w:sz w:val="24"/>
          <w:highlight w:val="none"/>
        </w:rPr>
        <w:t>)</w:t>
      </w:r>
    </w:p>
    <w:p w14:paraId="47FA41A7">
      <w:pPr>
        <w:spacing w:line="360" w:lineRule="auto"/>
        <w:ind w:firstLine="6120" w:firstLineChars="255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年  月  日</w:t>
      </w:r>
    </w:p>
    <w:p w14:paraId="3BD47A2A">
      <w:pPr>
        <w:spacing w:line="360" w:lineRule="auto"/>
        <w:rPr>
          <w:rFonts w:hint="eastAsia" w:ascii="宋体" w:hAnsi="宋体" w:eastAsia="宋体" w:cs="Times New Roman"/>
          <w:color w:val="auto"/>
          <w:sz w:val="32"/>
          <w:szCs w:val="32"/>
          <w:highlight w:val="none"/>
        </w:rPr>
      </w:pPr>
    </w:p>
    <w:p w14:paraId="3B25BEC8">
      <w:pPr>
        <w:spacing w:line="360" w:lineRule="auto"/>
        <w:rPr>
          <w:rFonts w:hint="eastAsia" w:ascii="宋体" w:hAnsi="宋体" w:eastAsia="宋体" w:cs="Times New Roman"/>
          <w:color w:val="auto"/>
          <w:sz w:val="32"/>
          <w:szCs w:val="32"/>
          <w:highlight w:val="none"/>
        </w:rPr>
      </w:pPr>
    </w:p>
    <w:p w14:paraId="260818CB">
      <w:pPr>
        <w:spacing w:line="360" w:lineRule="auto"/>
        <w:rPr>
          <w:rFonts w:hint="eastAsia" w:ascii="宋体" w:hAnsi="宋体" w:eastAsia="宋体" w:cs="Times New Roman"/>
          <w:color w:val="auto"/>
          <w:sz w:val="32"/>
          <w:szCs w:val="32"/>
          <w:highlight w:val="none"/>
        </w:rPr>
      </w:pPr>
    </w:p>
    <w:p w14:paraId="05252271">
      <w:pPr>
        <w:spacing w:line="360" w:lineRule="auto"/>
        <w:rPr>
          <w:rFonts w:hint="eastAsia" w:ascii="宋体" w:hAnsi="宋体" w:eastAsia="宋体" w:cs="Times New Roman"/>
          <w:color w:val="auto"/>
          <w:sz w:val="32"/>
          <w:szCs w:val="32"/>
          <w:highlight w:val="none"/>
        </w:rPr>
      </w:pPr>
    </w:p>
    <w:p w14:paraId="0F85579B">
      <w:pPr>
        <w:spacing w:line="360" w:lineRule="auto"/>
        <w:rPr>
          <w:rFonts w:hint="eastAsia" w:ascii="宋体" w:hAnsi="宋体" w:eastAsia="宋体" w:cs="Times New Roman"/>
          <w:color w:val="auto"/>
          <w:sz w:val="32"/>
          <w:szCs w:val="32"/>
          <w:highlight w:val="none"/>
        </w:rPr>
      </w:pPr>
    </w:p>
    <w:p w14:paraId="6C953150">
      <w:pPr>
        <w:spacing w:line="360" w:lineRule="auto"/>
        <w:rPr>
          <w:rFonts w:hint="eastAsia" w:ascii="宋体" w:hAnsi="宋体" w:eastAsia="宋体" w:cs="Times New Roman"/>
          <w:color w:val="auto"/>
          <w:sz w:val="32"/>
          <w:szCs w:val="32"/>
          <w:highlight w:val="none"/>
        </w:rPr>
      </w:pPr>
    </w:p>
    <w:p w14:paraId="793384AC">
      <w:pPr>
        <w:spacing w:line="360" w:lineRule="auto"/>
        <w:rPr>
          <w:rFonts w:hint="eastAsia" w:ascii="宋体" w:hAnsi="宋体" w:eastAsia="宋体" w:cs="Times New Roman"/>
          <w:color w:val="auto"/>
          <w:sz w:val="32"/>
          <w:szCs w:val="32"/>
          <w:highlight w:val="none"/>
        </w:rPr>
      </w:pPr>
    </w:p>
    <w:p w14:paraId="165F013E">
      <w:pPr>
        <w:spacing w:line="360" w:lineRule="auto"/>
        <w:rPr>
          <w:rFonts w:hint="eastAsia" w:ascii="宋体" w:hAnsi="宋体" w:eastAsia="宋体" w:cs="Times New Roman"/>
          <w:color w:val="auto"/>
          <w:sz w:val="32"/>
          <w:szCs w:val="32"/>
          <w:highlight w:val="none"/>
        </w:rPr>
      </w:pPr>
    </w:p>
    <w:p w14:paraId="5DCF3444">
      <w:pPr>
        <w:spacing w:line="360" w:lineRule="auto"/>
        <w:rPr>
          <w:rFonts w:hint="eastAsia" w:ascii="宋体" w:hAnsi="宋体" w:eastAsia="宋体" w:cs="Times New Roman"/>
          <w:color w:val="auto"/>
          <w:sz w:val="32"/>
          <w:szCs w:val="32"/>
          <w:highlight w:val="none"/>
        </w:rPr>
      </w:pPr>
    </w:p>
    <w:p w14:paraId="40890837">
      <w:pPr>
        <w:spacing w:line="360" w:lineRule="auto"/>
        <w:rPr>
          <w:rFonts w:hint="eastAsia" w:ascii="宋体" w:hAnsi="宋体" w:eastAsia="宋体" w:cs="Times New Roman"/>
          <w:color w:val="auto"/>
          <w:sz w:val="32"/>
          <w:szCs w:val="32"/>
          <w:highlight w:val="none"/>
        </w:rPr>
      </w:pPr>
    </w:p>
    <w:p w14:paraId="4995D326">
      <w:pPr>
        <w:spacing w:line="360" w:lineRule="auto"/>
        <w:rPr>
          <w:rFonts w:hint="eastAsia" w:ascii="Times New Roman" w:hAnsi="Times New Roman" w:eastAsia="宋体" w:cs="Times New Roman"/>
          <w:color w:val="auto"/>
          <w:sz w:val="32"/>
          <w:szCs w:val="32"/>
          <w:highlight w:val="none"/>
        </w:rPr>
      </w:pPr>
      <w:r>
        <w:rPr>
          <w:rFonts w:hint="eastAsia" w:ascii="宋体" w:hAnsi="宋体" w:eastAsia="宋体" w:cs="Times New Roman"/>
          <w:color w:val="auto"/>
          <w:sz w:val="32"/>
          <w:szCs w:val="32"/>
          <w:highlight w:val="none"/>
        </w:rPr>
        <w:t>附表三</w:t>
      </w:r>
    </w:p>
    <w:p w14:paraId="04D84D50">
      <w:pPr>
        <w:spacing w:line="360" w:lineRule="auto"/>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项目管理人员配备标准表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33"/>
        <w:gridCol w:w="1276"/>
        <w:gridCol w:w="3685"/>
        <w:gridCol w:w="3534"/>
      </w:tblGrid>
      <w:tr w14:paraId="092E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76" w:hRule="atLeast"/>
        </w:trPr>
        <w:tc>
          <w:tcPr>
            <w:tcW w:w="1333" w:type="dxa"/>
            <w:tcBorders>
              <w:top w:val="single" w:color="auto" w:sz="4" w:space="0"/>
              <w:left w:val="single" w:color="auto" w:sz="4" w:space="0"/>
              <w:bottom w:val="single" w:color="auto" w:sz="4" w:space="0"/>
              <w:right w:val="single" w:color="auto" w:sz="4" w:space="0"/>
            </w:tcBorders>
            <w:noWrap w:val="0"/>
            <w:vAlign w:val="center"/>
          </w:tcPr>
          <w:p w14:paraId="6A459C96">
            <w:pPr>
              <w:pStyle w:val="13"/>
              <w:spacing w:before="120"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岗位名称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8529070">
            <w:pPr>
              <w:pStyle w:val="13"/>
              <w:spacing w:before="120"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姓  名</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0C507473">
            <w:pPr>
              <w:pStyle w:val="13"/>
              <w:spacing w:before="120"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资格证书名称及证号</w:t>
            </w:r>
          </w:p>
        </w:tc>
        <w:tc>
          <w:tcPr>
            <w:tcW w:w="3534" w:type="dxa"/>
            <w:tcBorders>
              <w:top w:val="single" w:color="auto" w:sz="4" w:space="0"/>
              <w:left w:val="single" w:color="auto" w:sz="4" w:space="0"/>
              <w:bottom w:val="single" w:color="auto" w:sz="4" w:space="0"/>
              <w:right w:val="single" w:color="auto" w:sz="4" w:space="0"/>
            </w:tcBorders>
            <w:noWrap w:val="0"/>
            <w:vAlign w:val="center"/>
          </w:tcPr>
          <w:p w14:paraId="01F8CF97">
            <w:pPr>
              <w:pStyle w:val="13"/>
              <w:spacing w:before="120" w:line="360" w:lineRule="auto"/>
              <w:jc w:val="center"/>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身份证号码</w:t>
            </w:r>
          </w:p>
        </w:tc>
      </w:tr>
      <w:tr w14:paraId="7464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73" w:hRule="atLeast"/>
        </w:trPr>
        <w:tc>
          <w:tcPr>
            <w:tcW w:w="1333" w:type="dxa"/>
            <w:vMerge w:val="restart"/>
            <w:tcBorders>
              <w:top w:val="single" w:color="auto" w:sz="4" w:space="0"/>
              <w:left w:val="single" w:color="auto" w:sz="4" w:space="0"/>
              <w:right w:val="single" w:color="auto" w:sz="4" w:space="0"/>
            </w:tcBorders>
            <w:noWrap w:val="0"/>
            <w:vAlign w:val="center"/>
          </w:tcPr>
          <w:p w14:paraId="51C66CD3">
            <w:pPr>
              <w:pStyle w:val="13"/>
              <w:spacing w:before="120"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项目建造师</w:t>
            </w:r>
          </w:p>
        </w:tc>
        <w:tc>
          <w:tcPr>
            <w:tcW w:w="1276" w:type="dxa"/>
            <w:vMerge w:val="restart"/>
            <w:tcBorders>
              <w:top w:val="single" w:color="auto" w:sz="4" w:space="0"/>
              <w:left w:val="single" w:color="auto" w:sz="4" w:space="0"/>
              <w:right w:val="single" w:color="auto" w:sz="4" w:space="0"/>
            </w:tcBorders>
            <w:noWrap w:val="0"/>
            <w:vAlign w:val="top"/>
          </w:tcPr>
          <w:p w14:paraId="1DF45E53">
            <w:pPr>
              <w:spacing w:line="360" w:lineRule="auto"/>
              <w:jc w:val="center"/>
              <w:rPr>
                <w:rFonts w:hint="eastAsia" w:ascii="宋体" w:hAnsi="宋体" w:eastAsia="宋体" w:cs="Times New Roman"/>
                <w:color w:val="auto"/>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5071AE0D">
            <w:pPr>
              <w:pStyle w:val="13"/>
              <w:spacing w:before="120"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建造师注册执业证书号：</w:t>
            </w:r>
          </w:p>
        </w:tc>
        <w:tc>
          <w:tcPr>
            <w:tcW w:w="3534" w:type="dxa"/>
            <w:vMerge w:val="restart"/>
            <w:tcBorders>
              <w:top w:val="single" w:color="auto" w:sz="4" w:space="0"/>
              <w:left w:val="single" w:color="auto" w:sz="4" w:space="0"/>
              <w:right w:val="single" w:color="auto" w:sz="4" w:space="0"/>
            </w:tcBorders>
            <w:noWrap w:val="0"/>
            <w:vAlign w:val="center"/>
          </w:tcPr>
          <w:p w14:paraId="604741E8">
            <w:pPr>
              <w:spacing w:line="360" w:lineRule="auto"/>
              <w:jc w:val="center"/>
              <w:rPr>
                <w:rFonts w:ascii="宋体" w:hAnsi="宋体" w:eastAsia="宋体" w:cs="Times New Roman"/>
                <w:color w:val="auto"/>
                <w:sz w:val="24"/>
                <w:highlight w:val="none"/>
              </w:rPr>
            </w:pPr>
          </w:p>
        </w:tc>
      </w:tr>
      <w:tr w14:paraId="2267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42" w:hRule="atLeast"/>
        </w:trPr>
        <w:tc>
          <w:tcPr>
            <w:tcW w:w="1333" w:type="dxa"/>
            <w:vMerge w:val="continue"/>
            <w:tcBorders>
              <w:left w:val="single" w:color="auto" w:sz="4" w:space="0"/>
              <w:bottom w:val="single" w:color="auto" w:sz="4" w:space="0"/>
              <w:right w:val="single" w:color="auto" w:sz="4" w:space="0"/>
            </w:tcBorders>
            <w:noWrap w:val="0"/>
            <w:vAlign w:val="center"/>
          </w:tcPr>
          <w:p w14:paraId="05D6923B">
            <w:pPr>
              <w:pStyle w:val="13"/>
              <w:spacing w:before="120" w:line="360" w:lineRule="auto"/>
              <w:jc w:val="center"/>
              <w:rPr>
                <w:rFonts w:hint="eastAsia" w:ascii="宋体" w:hAnsi="宋体" w:eastAsia="宋体" w:cs="Times New Roman"/>
                <w:color w:val="auto"/>
                <w:sz w:val="24"/>
                <w:highlight w:val="none"/>
              </w:rPr>
            </w:pPr>
          </w:p>
        </w:tc>
        <w:tc>
          <w:tcPr>
            <w:tcW w:w="1276" w:type="dxa"/>
            <w:vMerge w:val="continue"/>
            <w:tcBorders>
              <w:left w:val="single" w:color="auto" w:sz="4" w:space="0"/>
              <w:bottom w:val="single" w:color="auto" w:sz="4" w:space="0"/>
              <w:right w:val="single" w:color="auto" w:sz="4" w:space="0"/>
            </w:tcBorders>
            <w:noWrap w:val="0"/>
            <w:vAlign w:val="top"/>
          </w:tcPr>
          <w:p w14:paraId="36456B80">
            <w:pPr>
              <w:spacing w:line="360" w:lineRule="auto"/>
              <w:jc w:val="center"/>
              <w:rPr>
                <w:rFonts w:hint="eastAsia" w:ascii="宋体" w:hAnsi="宋体" w:eastAsia="宋体" w:cs="Times New Roman"/>
                <w:color w:val="auto"/>
                <w:sz w:val="24"/>
                <w:highlight w:val="none"/>
              </w:rPr>
            </w:pPr>
          </w:p>
        </w:tc>
        <w:tc>
          <w:tcPr>
            <w:tcW w:w="3685" w:type="dxa"/>
            <w:tcBorders>
              <w:top w:val="single" w:color="auto" w:sz="4" w:space="0"/>
              <w:left w:val="single" w:color="auto" w:sz="4" w:space="0"/>
              <w:bottom w:val="single" w:color="auto" w:sz="4" w:space="0"/>
              <w:right w:val="single" w:color="auto" w:sz="4" w:space="0"/>
            </w:tcBorders>
            <w:noWrap w:val="0"/>
            <w:vAlign w:val="top"/>
          </w:tcPr>
          <w:p w14:paraId="3C04121A">
            <w:pPr>
              <w:pStyle w:val="13"/>
              <w:spacing w:before="120" w:line="360" w:lineRule="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安全生产考核合格证书号：</w:t>
            </w:r>
          </w:p>
        </w:tc>
        <w:tc>
          <w:tcPr>
            <w:tcW w:w="3534" w:type="dxa"/>
            <w:vMerge w:val="continue"/>
            <w:tcBorders>
              <w:left w:val="single" w:color="auto" w:sz="4" w:space="0"/>
              <w:bottom w:val="single" w:color="auto" w:sz="4" w:space="0"/>
              <w:right w:val="single" w:color="auto" w:sz="4" w:space="0"/>
            </w:tcBorders>
            <w:noWrap w:val="0"/>
            <w:vAlign w:val="center"/>
          </w:tcPr>
          <w:p w14:paraId="4E24A8E4">
            <w:pPr>
              <w:spacing w:line="360" w:lineRule="auto"/>
              <w:jc w:val="center"/>
              <w:rPr>
                <w:rFonts w:ascii="宋体" w:hAnsi="宋体" w:eastAsia="宋体" w:cs="Times New Roman"/>
                <w:color w:val="auto"/>
                <w:sz w:val="24"/>
                <w:highlight w:val="none"/>
              </w:rPr>
            </w:pPr>
          </w:p>
        </w:tc>
      </w:tr>
    </w:tbl>
    <w:p w14:paraId="4698E326">
      <w:pPr>
        <w:snapToGrid w:val="0"/>
        <w:spacing w:line="360" w:lineRule="auto"/>
        <w:jc w:val="left"/>
        <w:rPr>
          <w:rFonts w:hint="eastAsia" w:ascii="Times New Roman" w:hAnsi="Times New Roman" w:eastAsia="宋体" w:cs="Times New Roman"/>
          <w:b/>
          <w:color w:val="auto"/>
          <w:sz w:val="24"/>
          <w:highlight w:val="none"/>
        </w:rPr>
      </w:pPr>
      <w:r>
        <w:rPr>
          <w:rFonts w:hint="eastAsia" w:ascii="Times New Roman" w:hAnsi="Times New Roman" w:eastAsia="宋体" w:cs="Times New Roman"/>
          <w:b/>
          <w:color w:val="auto"/>
          <w:sz w:val="24"/>
          <w:highlight w:val="none"/>
        </w:rPr>
        <w:t>备注：</w:t>
      </w:r>
    </w:p>
    <w:p w14:paraId="65089204">
      <w:pPr>
        <w:snapToGrid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1、上述施工管理人员不能在本招标项目中同时担任两个或两个以上的施工管理岗位。</w:t>
      </w:r>
    </w:p>
    <w:p w14:paraId="762F5926">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2、开标时资格审查小组不对以上材料的真实性进行核查，投标人应对其负责。  </w:t>
      </w:r>
    </w:p>
    <w:p w14:paraId="3163674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3、投标人在投标时应按要求填写拟派建造师的具体信息，项目经理的资格证书及安全生产考核合格证书等相关证书证件应制作在投标文件中，未放入投标文件中按废标处理。 </w:t>
      </w:r>
    </w:p>
    <w:p w14:paraId="23A3DBF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4、投标人在投标时</w:t>
      </w:r>
      <w:r>
        <w:rPr>
          <w:rFonts w:hint="eastAsia" w:ascii="宋体" w:hAnsi="宋体" w:eastAsia="宋体" w:cs="宋体"/>
          <w:color w:val="auto"/>
          <w:sz w:val="24"/>
          <w:highlight w:val="none"/>
          <w:lang w:val="en-US" w:eastAsia="zh-CN"/>
        </w:rPr>
        <w:t>无</w:t>
      </w:r>
      <w:r>
        <w:rPr>
          <w:rFonts w:hint="eastAsia" w:ascii="宋体" w:hAnsi="宋体" w:eastAsia="宋体" w:cs="宋体"/>
          <w:color w:val="auto"/>
          <w:sz w:val="24"/>
          <w:highlight w:val="none"/>
        </w:rPr>
        <w:t>需填写项目技术负责人等其他项目管理人员的具体信息。</w:t>
      </w:r>
    </w:p>
    <w:p w14:paraId="09A0DC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5、以上人员配备为最低要求，最终人员配备以相关文件标准及相关主管部门的要求配备到位。中标单位应无条件配备充足人员，招标人不另行支付费用。</w:t>
      </w:r>
    </w:p>
    <w:p w14:paraId="222CB8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6、投标人中标后若不能按《拟派出主要项目管理人员配备标准》要求配备项目技术负责人等其他项目管理人员的，招标人将取消中标人的中标资格和没收其投标保证金。 </w:t>
      </w:r>
      <w:r>
        <w:rPr>
          <w:rFonts w:hint="eastAsia" w:ascii="宋体" w:hAnsi="宋体" w:eastAsia="宋体" w:cs="Times New Roman"/>
          <w:color w:val="auto"/>
          <w:szCs w:val="21"/>
          <w:highlight w:val="none"/>
        </w:rPr>
        <w:t xml:space="preserve">  </w:t>
      </w:r>
    </w:p>
    <w:p w14:paraId="2946F0C1">
      <w:pPr>
        <w:spacing w:line="360" w:lineRule="auto"/>
        <w:ind w:firstLine="480" w:firstLineChars="200"/>
        <w:jc w:val="center"/>
        <w:rPr>
          <w:rFonts w:hint="eastAsia" w:ascii="宋体" w:hAnsi="宋体" w:eastAsia="宋体" w:cs="Times New Roman"/>
          <w:bCs/>
          <w:color w:val="auto"/>
          <w:sz w:val="24"/>
          <w:highlight w:val="none"/>
        </w:rPr>
      </w:pPr>
      <w:r>
        <w:rPr>
          <w:rFonts w:hint="eastAsia" w:ascii="宋体" w:hAnsi="宋体" w:eastAsia="宋体" w:cs="Times New Roman"/>
          <w:bCs/>
          <w:color w:val="auto"/>
          <w:sz w:val="24"/>
          <w:highlight w:val="none"/>
        </w:rPr>
        <w:t xml:space="preserve">                                  投标人：</w:t>
      </w:r>
      <w:r>
        <w:rPr>
          <w:rFonts w:ascii="宋体" w:hAnsi="宋体" w:eastAsia="宋体" w:cs="å®‹ä½“"/>
          <w:color w:val="auto"/>
          <w:kern w:val="0"/>
          <w:sz w:val="24"/>
          <w:highlight w:val="none"/>
        </w:rPr>
        <w:t>(</w:t>
      </w:r>
      <w:r>
        <w:rPr>
          <w:rFonts w:hint="eastAsia" w:ascii="宋体" w:hAnsi="宋体" w:eastAsia="宋体" w:cs="瀹嬩綋"/>
          <w:color w:val="auto"/>
          <w:kern w:val="0"/>
          <w:sz w:val="24"/>
          <w:highlight w:val="none"/>
        </w:rPr>
        <w:t>盖单位公章</w:t>
      </w:r>
      <w:r>
        <w:rPr>
          <w:rFonts w:ascii="宋体" w:hAnsi="宋体" w:eastAsia="宋体" w:cs="å®‹ä½“"/>
          <w:color w:val="auto"/>
          <w:kern w:val="0"/>
          <w:sz w:val="24"/>
          <w:highlight w:val="none"/>
        </w:rPr>
        <w:t>)</w:t>
      </w:r>
    </w:p>
    <w:p w14:paraId="508B6DDF">
      <w:pPr>
        <w:pStyle w:val="13"/>
        <w:spacing w:before="156" w:beforeLines="50" w:after="156" w:afterLines="50" w:line="240" w:lineRule="auto"/>
        <w:jc w:val="both"/>
        <w:rPr>
          <w:rFonts w:hint="eastAsia" w:ascii="宋体" w:hAnsi="宋体" w:eastAsia="宋体" w:cs="宋体"/>
          <w:color w:val="auto"/>
          <w:highlight w:val="none"/>
        </w:rPr>
      </w:pPr>
    </w:p>
    <w:p w14:paraId="674B3331">
      <w:pPr>
        <w:pStyle w:val="13"/>
        <w:spacing w:before="156" w:beforeLines="50" w:after="156" w:afterLines="50" w:line="240" w:lineRule="auto"/>
        <w:jc w:val="both"/>
        <w:rPr>
          <w:rFonts w:hint="eastAsia" w:ascii="宋体" w:hAnsi="宋体" w:eastAsia="宋体" w:cs="宋体"/>
          <w:color w:val="auto"/>
          <w:highlight w:val="none"/>
        </w:rPr>
      </w:pPr>
    </w:p>
    <w:p w14:paraId="74C8841A">
      <w:pPr>
        <w:pStyle w:val="13"/>
        <w:spacing w:before="156" w:beforeLines="50" w:after="156" w:afterLines="50" w:line="240" w:lineRule="auto"/>
        <w:jc w:val="both"/>
        <w:rPr>
          <w:rFonts w:hint="eastAsia" w:ascii="宋体" w:hAnsi="宋体" w:eastAsia="宋体" w:cs="宋体"/>
          <w:color w:val="auto"/>
          <w:highlight w:val="none"/>
        </w:rPr>
      </w:pPr>
    </w:p>
    <w:p w14:paraId="33C90638">
      <w:pPr>
        <w:pStyle w:val="13"/>
        <w:spacing w:before="156" w:beforeLines="50" w:after="156" w:afterLines="50" w:line="240" w:lineRule="auto"/>
        <w:jc w:val="both"/>
        <w:rPr>
          <w:rFonts w:hint="eastAsia" w:ascii="宋体" w:hAnsi="宋体" w:eastAsia="宋体" w:cs="宋体"/>
          <w:color w:val="auto"/>
          <w:highlight w:val="none"/>
        </w:rPr>
      </w:pPr>
    </w:p>
    <w:p w14:paraId="6586CA77">
      <w:pPr>
        <w:pStyle w:val="13"/>
        <w:spacing w:before="156" w:beforeLines="50" w:after="156" w:afterLines="50" w:line="240" w:lineRule="auto"/>
        <w:jc w:val="both"/>
        <w:rPr>
          <w:rFonts w:hint="eastAsia" w:ascii="宋体" w:hAnsi="宋体" w:eastAsia="宋体" w:cs="宋体"/>
          <w:color w:val="auto"/>
          <w:highlight w:val="none"/>
        </w:rPr>
      </w:pPr>
    </w:p>
    <w:p w14:paraId="5F89BD8B">
      <w:pPr>
        <w:pStyle w:val="13"/>
        <w:spacing w:before="156" w:beforeLines="50" w:after="156" w:afterLines="50" w:line="240" w:lineRule="auto"/>
        <w:jc w:val="both"/>
        <w:rPr>
          <w:rFonts w:hint="eastAsia" w:ascii="宋体" w:hAnsi="宋体" w:eastAsia="宋体" w:cs="宋体"/>
          <w:color w:val="auto"/>
          <w:highlight w:val="none"/>
        </w:rPr>
      </w:pPr>
    </w:p>
    <w:p w14:paraId="6A97BEF2">
      <w:pPr>
        <w:pStyle w:val="13"/>
        <w:spacing w:before="156" w:beforeLines="50" w:after="156" w:afterLines="50" w:line="240" w:lineRule="auto"/>
        <w:jc w:val="both"/>
        <w:rPr>
          <w:rFonts w:hint="eastAsia" w:ascii="宋体" w:hAnsi="宋体" w:eastAsia="宋体" w:cs="宋体"/>
          <w:color w:val="auto"/>
          <w:highlight w:val="none"/>
        </w:rPr>
      </w:pPr>
    </w:p>
    <w:p w14:paraId="17BCB547">
      <w:pPr>
        <w:pStyle w:val="13"/>
        <w:spacing w:before="156" w:beforeLines="50" w:after="156" w:afterLines="50" w:line="240" w:lineRule="auto"/>
        <w:jc w:val="both"/>
        <w:rPr>
          <w:rFonts w:hint="eastAsia" w:ascii="宋体" w:hAnsi="宋体" w:eastAsia="宋体" w:cs="宋体"/>
          <w:color w:val="auto"/>
          <w:highlight w:val="none"/>
        </w:rPr>
      </w:pPr>
    </w:p>
    <w:p w14:paraId="5F2D4B8E">
      <w:pPr>
        <w:pStyle w:val="13"/>
        <w:spacing w:before="156" w:beforeLines="50" w:after="156" w:afterLines="50" w:line="240" w:lineRule="auto"/>
        <w:jc w:val="both"/>
        <w:rPr>
          <w:rFonts w:hint="eastAsia" w:ascii="宋体" w:hAnsi="宋体" w:eastAsia="宋体" w:cs="宋体"/>
          <w:color w:val="auto"/>
          <w:highlight w:val="none"/>
        </w:rPr>
      </w:pPr>
    </w:p>
    <w:p w14:paraId="29093AF5">
      <w:pPr>
        <w:pStyle w:val="5"/>
        <w:widowControl/>
        <w:tabs>
          <w:tab w:val="left" w:pos="720"/>
        </w:tabs>
        <w:spacing w:before="120" w:after="120" w:line="360" w:lineRule="auto"/>
        <w:jc w:val="center"/>
        <w:rPr>
          <w:rFonts w:hint="eastAsia" w:ascii="宋体" w:hAnsi="宋体" w:eastAsia="宋体" w:cs="宋体"/>
          <w:color w:val="auto"/>
          <w:sz w:val="36"/>
          <w:highlight w:val="none"/>
        </w:rPr>
      </w:pPr>
      <w:r>
        <w:rPr>
          <w:rFonts w:hint="eastAsia" w:ascii="宋体" w:hAnsi="宋体" w:eastAsia="宋体" w:cs="宋体"/>
          <w:color w:val="auto"/>
          <w:kern w:val="0"/>
          <w:highlight w:val="none"/>
        </w:rPr>
        <w:t>2、</w:t>
      </w:r>
      <w:r>
        <w:rPr>
          <w:rFonts w:hint="eastAsia" w:ascii="宋体" w:hAnsi="宋体" w:eastAsia="宋体" w:cs="宋体"/>
          <w:color w:val="auto"/>
          <w:sz w:val="36"/>
          <w:highlight w:val="none"/>
        </w:rPr>
        <w:t>法定代表人身份证明书</w:t>
      </w:r>
    </w:p>
    <w:p w14:paraId="72C978AE">
      <w:pPr>
        <w:jc w:val="center"/>
        <w:rPr>
          <w:rFonts w:hint="eastAsia" w:ascii="宋体" w:hAnsi="宋体" w:eastAsia="宋体" w:cs="宋体"/>
          <w:b/>
          <w:color w:val="auto"/>
          <w:sz w:val="36"/>
          <w:highlight w:val="none"/>
        </w:rPr>
      </w:pPr>
    </w:p>
    <w:p w14:paraId="0F232BAB">
      <w:pPr>
        <w:rPr>
          <w:rFonts w:hint="eastAsia" w:ascii="宋体" w:hAnsi="宋体" w:eastAsia="宋体" w:cs="宋体"/>
          <w:b/>
          <w:color w:val="auto"/>
          <w:highlight w:val="none"/>
        </w:rPr>
      </w:pPr>
    </w:p>
    <w:p w14:paraId="64BF36C8">
      <w:pPr>
        <w:spacing w:line="560" w:lineRule="exact"/>
        <w:ind w:firstLine="612"/>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单位名称：_____________________________________________</w:t>
      </w:r>
    </w:p>
    <w:p w14:paraId="15A81D8B">
      <w:pPr>
        <w:spacing w:line="560" w:lineRule="exact"/>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单位性质：_____________________________________________</w:t>
      </w:r>
    </w:p>
    <w:p w14:paraId="4F49F430">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址：_____________________________________________</w:t>
      </w:r>
    </w:p>
    <w:p w14:paraId="75C5813B">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1B691D9">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经营期限：_____________________________________________</w:t>
      </w:r>
    </w:p>
    <w:p w14:paraId="4D8500A8">
      <w:pPr>
        <w:spacing w:line="560" w:lineRule="exact"/>
        <w:ind w:firstLine="61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职务：_____</w:t>
      </w:r>
    </w:p>
    <w:p w14:paraId="6E1406FB">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（投标人单位名称）              </w:t>
      </w:r>
      <w:r>
        <w:rPr>
          <w:rFonts w:hint="eastAsia" w:ascii="宋体" w:hAnsi="宋体" w:eastAsia="宋体" w:cs="宋体"/>
          <w:color w:val="auto"/>
          <w:sz w:val="24"/>
          <w:highlight w:val="none"/>
        </w:rPr>
        <w:t>的法定代表人。</w:t>
      </w:r>
    </w:p>
    <w:p w14:paraId="5B1428FC">
      <w:pPr>
        <w:spacing w:line="560" w:lineRule="exact"/>
        <w:rPr>
          <w:rFonts w:hint="eastAsia" w:ascii="宋体" w:hAnsi="宋体" w:eastAsia="宋体" w:cs="宋体"/>
          <w:color w:val="auto"/>
          <w:sz w:val="24"/>
          <w:highlight w:val="none"/>
        </w:rPr>
      </w:pPr>
    </w:p>
    <w:p w14:paraId="31305E4C">
      <w:pPr>
        <w:spacing w:line="560" w:lineRule="exact"/>
        <w:rPr>
          <w:rFonts w:hint="eastAsia" w:ascii="宋体" w:hAnsi="宋体" w:eastAsia="宋体" w:cs="宋体"/>
          <w:color w:val="auto"/>
          <w:sz w:val="24"/>
          <w:highlight w:val="none"/>
        </w:rPr>
      </w:pPr>
    </w:p>
    <w:p w14:paraId="777B405D">
      <w:pPr>
        <w:spacing w:line="560" w:lineRule="exact"/>
        <w:ind w:firstLine="61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5695EBA">
      <w:pPr>
        <w:tabs>
          <w:tab w:val="left" w:pos="495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p>
    <w:p w14:paraId="6DB1B238">
      <w:pPr>
        <w:spacing w:line="360" w:lineRule="auto"/>
        <w:rPr>
          <w:rFonts w:hint="eastAsia" w:ascii="宋体" w:hAnsi="宋体" w:eastAsia="宋体" w:cs="宋体"/>
          <w:color w:val="auto"/>
          <w:sz w:val="24"/>
          <w:highlight w:val="none"/>
        </w:rPr>
      </w:pPr>
    </w:p>
    <w:p w14:paraId="2C30E625">
      <w:pPr>
        <w:tabs>
          <w:tab w:val="left" w:pos="720"/>
          <w:tab w:val="left" w:pos="900"/>
        </w:tabs>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w:t>
      </w:r>
      <w:r>
        <w:rPr>
          <w:rFonts w:hint="eastAsia" w:ascii="宋体" w:hAnsi="宋体" w:eastAsia="宋体" w:cs="宋体"/>
          <w:color w:val="auto"/>
          <w:sz w:val="24"/>
          <w:highlight w:val="none"/>
          <w:u w:val="single"/>
          <w:lang w:val="en-US" w:eastAsia="zh-CN"/>
        </w:rPr>
        <w:t>单位</w:t>
      </w:r>
      <w:r>
        <w:rPr>
          <w:rFonts w:hint="eastAsia" w:ascii="宋体" w:hAnsi="宋体" w:eastAsia="宋体" w:cs="宋体"/>
          <w:color w:val="auto"/>
          <w:sz w:val="24"/>
          <w:highlight w:val="none"/>
          <w:u w:val="single"/>
        </w:rPr>
        <w:t>公章）</w:t>
      </w:r>
    </w:p>
    <w:p w14:paraId="066D114C">
      <w:pPr>
        <w:tabs>
          <w:tab w:val="left" w:pos="720"/>
          <w:tab w:val="left" w:pos="900"/>
        </w:tabs>
        <w:spacing w:line="360" w:lineRule="auto"/>
        <w:ind w:left="1078"/>
        <w:rPr>
          <w:rFonts w:hint="eastAsia" w:ascii="宋体" w:hAnsi="宋体" w:eastAsia="宋体" w:cs="宋体"/>
          <w:color w:val="auto"/>
          <w:sz w:val="24"/>
          <w:highlight w:val="none"/>
        </w:rPr>
      </w:pPr>
    </w:p>
    <w:p w14:paraId="3CBD49D9">
      <w:pPr>
        <w:tabs>
          <w:tab w:val="left" w:pos="720"/>
          <w:tab w:val="left" w:pos="900"/>
        </w:tabs>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27FDBBD">
      <w:pPr>
        <w:tabs>
          <w:tab w:val="left" w:pos="720"/>
          <w:tab w:val="left" w:pos="900"/>
        </w:tabs>
        <w:spacing w:line="360" w:lineRule="auto"/>
        <w:ind w:firstLine="720" w:firstLineChars="300"/>
        <w:rPr>
          <w:rFonts w:hint="eastAsia" w:ascii="宋体" w:hAnsi="宋体" w:eastAsia="宋体" w:cs="宋体"/>
          <w:color w:val="auto"/>
          <w:sz w:val="24"/>
          <w:highlight w:val="none"/>
        </w:rPr>
      </w:pPr>
    </w:p>
    <w:p w14:paraId="7CF3523D">
      <w:pPr>
        <w:tabs>
          <w:tab w:val="left" w:pos="720"/>
          <w:tab w:val="left" w:pos="900"/>
        </w:tabs>
        <w:spacing w:line="360" w:lineRule="auto"/>
        <w:ind w:firstLine="720" w:firstLineChars="300"/>
        <w:rPr>
          <w:rFonts w:hint="eastAsia" w:ascii="宋体" w:hAnsi="宋体" w:eastAsia="宋体" w:cs="宋体"/>
          <w:color w:val="auto"/>
          <w:sz w:val="24"/>
          <w:highlight w:val="none"/>
        </w:rPr>
      </w:pPr>
    </w:p>
    <w:p w14:paraId="3B6007E9">
      <w:pPr>
        <w:tabs>
          <w:tab w:val="left" w:pos="720"/>
          <w:tab w:val="left" w:pos="900"/>
        </w:tabs>
        <w:spacing w:line="360" w:lineRule="auto"/>
        <w:ind w:firstLine="720" w:firstLineChars="300"/>
        <w:rPr>
          <w:rFonts w:hint="eastAsia" w:ascii="宋体" w:hAnsi="宋体" w:eastAsia="宋体" w:cs="宋体"/>
          <w:color w:val="auto"/>
          <w:sz w:val="24"/>
          <w:highlight w:val="none"/>
        </w:rPr>
      </w:pPr>
    </w:p>
    <w:p w14:paraId="3111264A">
      <w:pPr>
        <w:rPr>
          <w:rFonts w:hint="eastAsia" w:ascii="宋体" w:hAnsi="宋体" w:eastAsia="宋体" w:cs="宋体"/>
          <w:b/>
          <w:color w:val="auto"/>
          <w:sz w:val="24"/>
          <w:highlight w:val="none"/>
        </w:rPr>
      </w:pPr>
    </w:p>
    <w:p w14:paraId="1D3CD750">
      <w:pPr>
        <w:rPr>
          <w:rFonts w:hint="eastAsia" w:ascii="宋体" w:hAnsi="宋体" w:eastAsia="宋体" w:cs="宋体"/>
          <w:b/>
          <w:color w:val="auto"/>
          <w:sz w:val="24"/>
          <w:highlight w:val="none"/>
        </w:rPr>
      </w:pPr>
    </w:p>
    <w:p w14:paraId="2AE703A7">
      <w:pPr>
        <w:ind w:firstLine="723" w:firstLineChars="200"/>
        <w:jc w:val="center"/>
        <w:rPr>
          <w:rFonts w:hint="eastAsia" w:ascii="宋体" w:hAnsi="宋体" w:eastAsia="宋体" w:cs="宋体"/>
          <w:b/>
          <w:color w:val="auto"/>
          <w:sz w:val="36"/>
          <w:highlight w:val="none"/>
        </w:rPr>
      </w:pPr>
    </w:p>
    <w:p w14:paraId="11F4E260">
      <w:pPr>
        <w:pStyle w:val="2"/>
        <w:rPr>
          <w:rFonts w:hint="eastAsia"/>
          <w:color w:val="auto"/>
          <w:highlight w:val="none"/>
        </w:rPr>
      </w:pPr>
    </w:p>
    <w:p w14:paraId="680112F6">
      <w:pPr>
        <w:pStyle w:val="20"/>
        <w:rPr>
          <w:rFonts w:hint="eastAsia"/>
          <w:color w:val="auto"/>
          <w:highlight w:val="none"/>
        </w:rPr>
      </w:pPr>
    </w:p>
    <w:p w14:paraId="02281189">
      <w:pPr>
        <w:ind w:firstLine="723" w:firstLineChars="200"/>
        <w:jc w:val="center"/>
        <w:rPr>
          <w:rFonts w:hint="eastAsia" w:ascii="宋体" w:hAnsi="宋体" w:eastAsia="宋体" w:cs="宋体"/>
          <w:b/>
          <w:color w:val="auto"/>
          <w:sz w:val="36"/>
          <w:highlight w:val="none"/>
        </w:rPr>
      </w:pPr>
    </w:p>
    <w:p w14:paraId="6C64519E">
      <w:pPr>
        <w:jc w:val="center"/>
        <w:rPr>
          <w:rFonts w:hint="eastAsia" w:ascii="宋体" w:hAnsi="宋体" w:eastAsia="宋体" w:cs="宋体"/>
          <w:b/>
          <w:color w:val="auto"/>
          <w:sz w:val="36"/>
          <w:highlight w:val="none"/>
          <w:lang w:eastAsia="zh-CN"/>
        </w:rPr>
      </w:pPr>
      <w:r>
        <w:rPr>
          <w:rFonts w:hint="eastAsia" w:ascii="宋体" w:hAnsi="宋体" w:eastAsia="宋体" w:cs="宋体"/>
          <w:b/>
          <w:color w:val="auto"/>
          <w:sz w:val="36"/>
          <w:highlight w:val="none"/>
        </w:rPr>
        <w:t>法定代表人授权委托书</w:t>
      </w:r>
      <w:r>
        <w:rPr>
          <w:rFonts w:hint="eastAsia" w:ascii="宋体" w:hAnsi="宋体" w:eastAsia="宋体" w:cs="宋体"/>
          <w:b/>
          <w:color w:val="auto"/>
          <w:sz w:val="36"/>
          <w:highlight w:val="none"/>
          <w:lang w:eastAsia="zh-CN"/>
        </w:rPr>
        <w:t>（</w:t>
      </w:r>
      <w:r>
        <w:rPr>
          <w:rFonts w:hint="eastAsia" w:ascii="宋体" w:hAnsi="宋体" w:eastAsia="宋体" w:cs="宋体"/>
          <w:b/>
          <w:color w:val="auto"/>
          <w:sz w:val="36"/>
          <w:highlight w:val="none"/>
          <w:lang w:val="en-US" w:eastAsia="zh-CN"/>
        </w:rPr>
        <w:t>若有</w:t>
      </w:r>
      <w:r>
        <w:rPr>
          <w:rFonts w:hint="eastAsia" w:ascii="宋体" w:hAnsi="宋体" w:eastAsia="宋体" w:cs="宋体"/>
          <w:b/>
          <w:color w:val="auto"/>
          <w:sz w:val="36"/>
          <w:highlight w:val="none"/>
          <w:lang w:eastAsia="zh-CN"/>
        </w:rPr>
        <w:t>）</w:t>
      </w:r>
    </w:p>
    <w:p w14:paraId="0BDBA7B3">
      <w:pPr>
        <w:jc w:val="both"/>
        <w:rPr>
          <w:rFonts w:hint="eastAsia" w:ascii="宋体" w:hAnsi="宋体" w:eastAsia="宋体" w:cs="宋体"/>
          <w:color w:val="auto"/>
          <w:highlight w:val="none"/>
        </w:rPr>
      </w:pPr>
    </w:p>
    <w:p w14:paraId="03D7A8B3">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（申请人全称）        </w:t>
      </w:r>
      <w:r>
        <w:rPr>
          <w:rFonts w:hint="eastAsia" w:ascii="宋体" w:hAnsi="宋体" w:eastAsia="宋体" w:cs="宋体"/>
          <w:color w:val="auto"/>
          <w:sz w:val="24"/>
          <w:highlight w:val="none"/>
        </w:rPr>
        <w:t>的法定代表人，现授权委托</w:t>
      </w:r>
      <w:r>
        <w:rPr>
          <w:rFonts w:hint="eastAsia" w:ascii="宋体" w:hAnsi="宋体" w:eastAsia="宋体" w:cs="宋体"/>
          <w:color w:val="auto"/>
          <w:sz w:val="24"/>
          <w:highlight w:val="none"/>
          <w:u w:val="single"/>
        </w:rPr>
        <w:t xml:space="preserve">            （单位全称）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为我公司代理人，以本公司的名义参加</w:t>
      </w:r>
      <w:r>
        <w:rPr>
          <w:rFonts w:hint="eastAsia" w:ascii="宋体" w:hAnsi="宋体" w:eastAsia="宋体" w:cs="宋体"/>
          <w:color w:val="auto"/>
          <w:sz w:val="24"/>
          <w:highlight w:val="none"/>
          <w:u w:val="single"/>
        </w:rPr>
        <w:t xml:space="preserve">         (招标人全称)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(工程项目全称)              </w:t>
      </w:r>
      <w:r>
        <w:rPr>
          <w:rFonts w:hint="eastAsia" w:ascii="宋体" w:hAnsi="宋体" w:eastAsia="宋体" w:cs="宋体"/>
          <w:color w:val="auto"/>
          <w:sz w:val="24"/>
          <w:highlight w:val="none"/>
        </w:rPr>
        <w:t>的投标活动。代理人在资格后审、投标、开标、评标、合同谈判、签署合同过程中所签署的一切文件和处理与之有关的一切事务，我均予以承认。</w:t>
      </w:r>
    </w:p>
    <w:p w14:paraId="5066FE26">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代理人无转让委托权，特此委托。</w:t>
      </w:r>
    </w:p>
    <w:p w14:paraId="01822FDE">
      <w:pPr>
        <w:spacing w:line="560" w:lineRule="exact"/>
        <w:ind w:firstLine="480" w:firstLineChars="200"/>
        <w:rPr>
          <w:rFonts w:hint="eastAsia" w:ascii="宋体" w:hAnsi="宋体" w:eastAsia="宋体" w:cs="宋体"/>
          <w:color w:val="auto"/>
          <w:sz w:val="24"/>
          <w:highlight w:val="none"/>
        </w:rPr>
      </w:pPr>
    </w:p>
    <w:p w14:paraId="70AB51BE">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w:t>
      </w:r>
      <w:r>
        <w:rPr>
          <w:rFonts w:hint="eastAsia" w:ascii="宋体" w:hAnsi="宋体" w:eastAsia="宋体" w:cs="宋体"/>
          <w:color w:val="auto"/>
          <w:sz w:val="24"/>
          <w:highlight w:val="none"/>
          <w:u w:val="single"/>
        </w:rPr>
        <w:t xml:space="preserve">    (签名)     </w:t>
      </w:r>
      <w:r>
        <w:rPr>
          <w:rFonts w:hint="eastAsia" w:ascii="宋体" w:hAnsi="宋体" w:eastAsia="宋体" w:cs="宋体"/>
          <w:color w:val="auto"/>
          <w:sz w:val="24"/>
          <w:highlight w:val="none"/>
        </w:rPr>
        <w:t xml:space="preserve">             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4C83A68">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职务：</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A31A8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身份证号码： </w:t>
      </w:r>
      <w:r>
        <w:rPr>
          <w:rFonts w:hint="eastAsia" w:ascii="宋体" w:hAnsi="宋体" w:eastAsia="宋体" w:cs="宋体"/>
          <w:color w:val="auto"/>
          <w:sz w:val="24"/>
          <w:highlight w:val="none"/>
          <w:u w:val="single"/>
        </w:rPr>
        <w:t xml:space="preserve">                                    </w:t>
      </w:r>
    </w:p>
    <w:p w14:paraId="3E8A233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（签名</w:t>
      </w:r>
      <w:r>
        <w:rPr>
          <w:rFonts w:hint="eastAsia" w:ascii="宋体" w:hAnsi="宋体" w:eastAsia="宋体" w:cs="宋体"/>
          <w:color w:val="auto"/>
          <w:sz w:val="24"/>
          <w:highlight w:val="none"/>
          <w:lang w:val="en-US" w:eastAsia="zh-CN"/>
        </w:rPr>
        <w:t>或盖章</w:t>
      </w:r>
      <w:r>
        <w:rPr>
          <w:rFonts w:hint="eastAsia" w:ascii="宋体" w:hAnsi="宋体" w:eastAsia="宋体" w:cs="宋体"/>
          <w:color w:val="auto"/>
          <w:sz w:val="24"/>
          <w:highlight w:val="none"/>
        </w:rPr>
        <w:t>）</w:t>
      </w:r>
    </w:p>
    <w:p w14:paraId="087CBACB">
      <w:pPr>
        <w:spacing w:line="5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授权委托日期：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6A12C4E">
      <w:pPr>
        <w:spacing w:line="560" w:lineRule="exact"/>
        <w:ind w:firstLine="480" w:firstLineChars="200"/>
        <w:rPr>
          <w:rFonts w:hint="eastAsia" w:ascii="宋体" w:hAnsi="宋体" w:eastAsia="宋体" w:cs="宋体"/>
          <w:color w:val="auto"/>
          <w:sz w:val="24"/>
          <w:highlight w:val="none"/>
        </w:rPr>
      </w:pPr>
    </w:p>
    <w:p w14:paraId="385CC48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2ABA03">
      <w:pPr>
        <w:spacing w:line="360" w:lineRule="auto"/>
        <w:ind w:firstLine="480" w:firstLineChars="200"/>
        <w:rPr>
          <w:rFonts w:hint="eastAsia" w:ascii="宋体" w:hAnsi="宋体" w:eastAsia="宋体" w:cs="宋体"/>
          <w:color w:val="auto"/>
          <w:sz w:val="24"/>
          <w:highlight w:val="none"/>
        </w:rPr>
      </w:pPr>
    </w:p>
    <w:p w14:paraId="3402DF38">
      <w:pPr>
        <w:spacing w:line="360" w:lineRule="auto"/>
        <w:ind w:firstLine="5760" w:firstLineChars="2400"/>
        <w:rPr>
          <w:rFonts w:hint="eastAsia" w:ascii="宋体" w:hAnsi="宋体" w:eastAsia="宋体" w:cs="宋体"/>
          <w:color w:val="auto"/>
          <w:sz w:val="24"/>
          <w:highlight w:val="none"/>
        </w:rPr>
      </w:pPr>
      <w:r>
        <w:rPr>
          <w:rFonts w:hint="eastAsia" w:ascii="宋体" w:hAnsi="宋体" w:eastAsia="宋体" w:cs="宋体"/>
          <w:color w:val="auto"/>
          <w:sz w:val="24"/>
          <w:highlight w:val="none"/>
        </w:rPr>
        <w:t>申请人：（</w:t>
      </w:r>
      <w:r>
        <w:rPr>
          <w:rFonts w:hint="eastAsia" w:ascii="宋体" w:hAnsi="宋体" w:eastAsia="宋体" w:cs="宋体"/>
          <w:color w:val="auto"/>
          <w:sz w:val="24"/>
          <w:highlight w:val="none"/>
          <w:lang w:val="en-US" w:eastAsia="zh-CN"/>
        </w:rPr>
        <w:t>盖单位</w:t>
      </w:r>
      <w:r>
        <w:rPr>
          <w:rFonts w:hint="eastAsia" w:ascii="宋体" w:hAnsi="宋体" w:eastAsia="宋体" w:cs="宋体"/>
          <w:color w:val="auto"/>
          <w:sz w:val="24"/>
          <w:highlight w:val="none"/>
        </w:rPr>
        <w:t>公章）</w:t>
      </w:r>
    </w:p>
    <w:p w14:paraId="4A7C9F91">
      <w:pPr>
        <w:spacing w:line="360" w:lineRule="auto"/>
        <w:ind w:firstLine="480" w:firstLineChars="200"/>
        <w:rPr>
          <w:rFonts w:hint="eastAsia" w:ascii="宋体" w:hAnsi="宋体" w:eastAsia="宋体" w:cs="宋体"/>
          <w:color w:val="auto"/>
          <w:sz w:val="24"/>
          <w:highlight w:val="none"/>
        </w:rPr>
      </w:pPr>
    </w:p>
    <w:p w14:paraId="0BC24832">
      <w:pPr>
        <w:spacing w:line="360" w:lineRule="auto"/>
        <w:ind w:firstLine="480" w:firstLineChars="200"/>
        <w:rPr>
          <w:rFonts w:hint="eastAsia" w:ascii="宋体" w:hAnsi="宋体" w:eastAsia="宋体" w:cs="宋体"/>
          <w:color w:val="auto"/>
          <w:sz w:val="24"/>
          <w:highlight w:val="none"/>
        </w:rPr>
      </w:pPr>
    </w:p>
    <w:p w14:paraId="1950C148">
      <w:pPr>
        <w:wordWrap w:val="0"/>
        <w:ind w:firstLine="480" w:firstLineChars="200"/>
        <w:rPr>
          <w:rFonts w:hint="eastAsia" w:ascii="宋体" w:hAnsi="宋体" w:eastAsia="宋体" w:cs="宋体"/>
          <w:color w:val="auto"/>
          <w:sz w:val="24"/>
          <w:highlight w:val="none"/>
        </w:rPr>
      </w:pPr>
    </w:p>
    <w:p w14:paraId="7C214ABE">
      <w:pPr>
        <w:wordWrap w:val="0"/>
        <w:ind w:firstLine="480" w:firstLineChars="200"/>
        <w:rPr>
          <w:rFonts w:hint="eastAsia" w:ascii="宋体" w:hAnsi="宋体" w:eastAsia="宋体" w:cs="Times New Roman"/>
          <w:b w:val="0"/>
          <w:bCs/>
          <w:color w:val="auto"/>
          <w:sz w:val="24"/>
          <w:szCs w:val="24"/>
          <w:highlight w:val="none"/>
        </w:rPr>
      </w:pPr>
      <w:r>
        <w:rPr>
          <w:rFonts w:hint="eastAsia" w:ascii="宋体" w:hAnsi="宋体" w:eastAsia="宋体" w:cs="宋体"/>
          <w:color w:val="auto"/>
          <w:sz w:val="24"/>
          <w:highlight w:val="none"/>
        </w:rPr>
        <w:t>注：</w:t>
      </w:r>
      <w:r>
        <w:rPr>
          <w:rFonts w:hint="eastAsia" w:ascii="宋体" w:hAnsi="宋体" w:eastAsia="宋体" w:cs="Times New Roman"/>
          <w:b w:val="0"/>
          <w:bCs/>
          <w:color w:val="auto"/>
          <w:sz w:val="24"/>
          <w:szCs w:val="24"/>
          <w:highlight w:val="none"/>
        </w:rPr>
        <w:t>本格式用于投标人代表参加开标时使用。</w:t>
      </w:r>
    </w:p>
    <w:p w14:paraId="5E59E0FC">
      <w:pPr>
        <w:pStyle w:val="2"/>
        <w:rPr>
          <w:rFonts w:hint="default"/>
          <w:color w:val="auto"/>
          <w:highlight w:val="none"/>
          <w:lang w:val="en-US" w:eastAsia="zh-CN"/>
        </w:rPr>
      </w:pPr>
    </w:p>
    <w:p w14:paraId="738BDAC1">
      <w:pPr>
        <w:wordWrap w:val="0"/>
        <w:ind w:firstLine="520" w:firstLineChars="200"/>
        <w:rPr>
          <w:rFonts w:hint="eastAsia" w:ascii="宋体" w:hAnsi="宋体" w:eastAsia="宋体" w:cs="宋体"/>
          <w:color w:val="auto"/>
          <w:spacing w:val="10"/>
          <w:sz w:val="24"/>
          <w:highlight w:val="none"/>
        </w:rPr>
      </w:pPr>
    </w:p>
    <w:p w14:paraId="7A3B4289">
      <w:pPr>
        <w:wordWrap w:val="0"/>
        <w:ind w:firstLine="520" w:firstLineChars="200"/>
        <w:rPr>
          <w:rFonts w:hint="eastAsia" w:ascii="宋体" w:hAnsi="宋体" w:eastAsia="宋体" w:cs="宋体"/>
          <w:color w:val="auto"/>
          <w:spacing w:val="10"/>
          <w:sz w:val="24"/>
          <w:highlight w:val="none"/>
        </w:rPr>
      </w:pPr>
    </w:p>
    <w:p w14:paraId="3608510A">
      <w:pPr>
        <w:wordWrap w:val="0"/>
        <w:ind w:firstLine="480" w:firstLineChars="200"/>
        <w:rPr>
          <w:rFonts w:hint="eastAsia" w:ascii="宋体" w:hAnsi="宋体" w:eastAsia="宋体" w:cs="宋体"/>
          <w:color w:val="auto"/>
          <w:sz w:val="24"/>
          <w:highlight w:val="none"/>
        </w:rPr>
      </w:pPr>
    </w:p>
    <w:p w14:paraId="3A88D7DB">
      <w:pPr>
        <w:wordWrap w:val="0"/>
        <w:ind w:firstLine="480" w:firstLineChars="200"/>
        <w:rPr>
          <w:rFonts w:hint="eastAsia" w:ascii="宋体" w:hAnsi="宋体" w:eastAsia="宋体" w:cs="宋体"/>
          <w:color w:val="auto"/>
          <w:sz w:val="24"/>
          <w:highlight w:val="none"/>
        </w:rPr>
      </w:pPr>
    </w:p>
    <w:p w14:paraId="747F0742">
      <w:pPr>
        <w:spacing w:line="560" w:lineRule="exact"/>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 xml:space="preserve"> </w:t>
      </w:r>
    </w:p>
    <w:p w14:paraId="24E94BE4">
      <w:pPr>
        <w:keepNext/>
        <w:keepLines/>
        <w:widowControl w:val="0"/>
        <w:numPr>
          <w:ilvl w:val="0"/>
          <w:numId w:val="6"/>
        </w:numPr>
        <w:spacing w:before="0" w:after="0" w:line="400" w:lineRule="exact"/>
        <w:jc w:val="center"/>
        <w:outlineLvl w:val="2"/>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投标保证金相关材料</w:t>
      </w:r>
    </w:p>
    <w:p w14:paraId="0C09BB29">
      <w:pPr>
        <w:pStyle w:val="2"/>
        <w:ind w:left="0" w:leftChars="0" w:firstLine="0" w:firstLineChars="0"/>
        <w:rPr>
          <w:rFonts w:hint="eastAsia" w:ascii="宋体" w:hAnsi="宋体" w:eastAsia="宋体" w:cs="宋体"/>
          <w:color w:val="auto"/>
          <w:kern w:val="2"/>
          <w:sz w:val="32"/>
          <w:szCs w:val="32"/>
          <w:highlight w:val="none"/>
          <w:lang w:val="en-US" w:eastAsia="zh-CN" w:bidi="ar-SA"/>
        </w:rPr>
      </w:pPr>
    </w:p>
    <w:p w14:paraId="26D410CE">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473C0F4A">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70292188">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747A5E81">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01EF4141">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7577C8B3">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5A50BD32">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1978D239">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4F09FD5E">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062FFEBE">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163426A1">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2E4DCF97">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14D6218D">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3A58F6A5">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26209A9F">
      <w:pPr>
        <w:pStyle w:val="2"/>
        <w:ind w:left="0" w:leftChars="0" w:firstLine="0" w:firstLineChars="0"/>
        <w:rPr>
          <w:rFonts w:hint="eastAsia" w:ascii="宋体" w:hAnsi="宋体" w:eastAsia="宋体" w:cs="宋体"/>
          <w:color w:val="auto"/>
          <w:spacing w:val="0"/>
          <w:kern w:val="2"/>
          <w:sz w:val="36"/>
          <w:szCs w:val="36"/>
          <w:highlight w:val="none"/>
          <w:lang w:val="en-US" w:eastAsia="zh-CN" w:bidi="ar-SA"/>
        </w:rPr>
      </w:pPr>
    </w:p>
    <w:p w14:paraId="0F381907">
      <w:pPr>
        <w:pStyle w:val="2"/>
        <w:ind w:left="0" w:leftChars="0" w:firstLine="0" w:firstLineChars="0"/>
        <w:rPr>
          <w:rFonts w:hint="eastAsia" w:ascii="宋体" w:hAnsi="宋体" w:eastAsia="宋体" w:cs="宋体"/>
          <w:color w:val="auto"/>
          <w:spacing w:val="0"/>
          <w:kern w:val="2"/>
          <w:sz w:val="28"/>
          <w:szCs w:val="28"/>
          <w:highlight w:val="none"/>
          <w:lang w:val="en-US" w:eastAsia="zh-CN" w:bidi="ar-SA"/>
        </w:rPr>
      </w:pPr>
    </w:p>
    <w:p w14:paraId="4C60CD28">
      <w:pPr>
        <w:pStyle w:val="2"/>
        <w:ind w:left="0" w:leftChars="0" w:firstLine="0" w:firstLineChars="0"/>
        <w:rPr>
          <w:rFonts w:hint="eastAsia" w:ascii="宋体" w:hAnsi="宋体" w:eastAsia="宋体" w:cs="宋体"/>
          <w:color w:val="auto"/>
          <w:spacing w:val="0"/>
          <w:kern w:val="2"/>
          <w:sz w:val="28"/>
          <w:szCs w:val="28"/>
          <w:highlight w:val="none"/>
          <w:lang w:val="en-US" w:eastAsia="zh-CN" w:bidi="ar-SA"/>
        </w:rPr>
      </w:pPr>
      <w:r>
        <w:rPr>
          <w:rFonts w:hint="eastAsia" w:ascii="宋体" w:hAnsi="宋体" w:eastAsia="宋体" w:cs="宋体"/>
          <w:color w:val="auto"/>
          <w:spacing w:val="0"/>
          <w:kern w:val="2"/>
          <w:sz w:val="28"/>
          <w:szCs w:val="28"/>
          <w:highlight w:val="none"/>
          <w:lang w:val="en-US" w:eastAsia="zh-CN" w:bidi="ar-SA"/>
        </w:rPr>
        <w:t>注：附上投标保证金相关原件扫描件加盖单位公章。</w:t>
      </w:r>
    </w:p>
    <w:p w14:paraId="7C108A2C">
      <w:pPr>
        <w:pStyle w:val="2"/>
        <w:ind w:left="0" w:leftChars="0" w:firstLine="0" w:firstLineChars="0"/>
        <w:rPr>
          <w:rFonts w:ascii="Arial" w:hAnsi="Arial" w:eastAsia="黑体" w:cs="Times New Roman"/>
          <w:b/>
          <w:bCs/>
          <w:color w:val="auto"/>
          <w:sz w:val="28"/>
          <w:szCs w:val="28"/>
          <w:highlight w:val="none"/>
        </w:rPr>
      </w:pPr>
      <w:r>
        <w:rPr>
          <w:rFonts w:hint="eastAsia" w:ascii="宋体" w:hAnsi="宋体" w:eastAsia="宋体" w:cs="宋体"/>
          <w:color w:val="auto"/>
          <w:kern w:val="2"/>
          <w:sz w:val="32"/>
          <w:szCs w:val="32"/>
          <w:highlight w:val="none"/>
          <w:lang w:val="en-US" w:eastAsia="zh-CN" w:bidi="ar-SA"/>
        </w:rPr>
        <w:br w:type="page"/>
      </w:r>
      <w:r>
        <w:rPr>
          <w:rFonts w:hint="eastAsia" w:ascii="宋体" w:hAnsi="宋体" w:eastAsia="宋体" w:cs="宋体"/>
          <w:color w:val="auto"/>
          <w:kern w:val="2"/>
          <w:sz w:val="32"/>
          <w:szCs w:val="32"/>
          <w:highlight w:val="none"/>
          <w:lang w:val="en-US" w:eastAsia="zh-CN" w:bidi="ar-SA"/>
        </w:rPr>
        <w:t>附件1：</w:t>
      </w:r>
      <w:r>
        <w:rPr>
          <w:rFonts w:hint="eastAsia" w:ascii="Arial" w:hAnsi="Arial" w:eastAsia="黑体" w:cs="Times New Roman"/>
          <w:b/>
          <w:bCs/>
          <w:color w:val="auto"/>
          <w:sz w:val="28"/>
          <w:szCs w:val="28"/>
          <w:highlight w:val="none"/>
        </w:rPr>
        <w:t>投标保证金（格式）</w:t>
      </w:r>
    </w:p>
    <w:p w14:paraId="0D0689A9">
      <w:pPr>
        <w:widowControl/>
        <w:shd w:val="clear" w:color="auto" w:fill="FFFFFF"/>
        <w:snapToGrid w:val="0"/>
        <w:spacing w:line="52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如采用现金或支票，投标人应在此提供凭证的扫描件，扫描件盖单位章；如采用保函，格式如下。</w:t>
      </w:r>
    </w:p>
    <w:p w14:paraId="1C31942C">
      <w:pPr>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投标保函</w:t>
      </w:r>
    </w:p>
    <w:p w14:paraId="2FFD4949">
      <w:pPr>
        <w:spacing w:line="360" w:lineRule="auto"/>
        <w:jc w:val="center"/>
        <w:rPr>
          <w:rFonts w:ascii="宋体" w:hAnsi="宋体" w:eastAsia="宋体" w:cs="宋体"/>
          <w:b/>
          <w:bCs/>
          <w:color w:val="auto"/>
          <w:sz w:val="32"/>
          <w:szCs w:val="32"/>
          <w:highlight w:val="none"/>
        </w:rPr>
      </w:pPr>
    </w:p>
    <w:p w14:paraId="2227CB90">
      <w:pPr>
        <w:wordWrap w:val="0"/>
        <w:spacing w:line="360" w:lineRule="auto"/>
        <w:jc w:val="right"/>
        <w:rPr>
          <w:rFonts w:ascii="宋体" w:hAnsi="宋体" w:eastAsia="宋体" w:cs="Times New Roman"/>
          <w:color w:val="auto"/>
          <w:sz w:val="24"/>
          <w:szCs w:val="24"/>
          <w:highlight w:val="none"/>
        </w:rPr>
      </w:pP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(保函开立人自行编号)</w:t>
      </w:r>
    </w:p>
    <w:p w14:paraId="4F0B3F54">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申请人：</w:t>
      </w:r>
    </w:p>
    <w:p w14:paraId="6D195E33">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r>
        <w:rPr>
          <w:rFonts w:ascii="宋体" w:hAnsi="宋体" w:eastAsia="宋体" w:cs="Times New Roman"/>
          <w:color w:val="auto"/>
          <w:szCs w:val="21"/>
          <w:highlight w:val="none"/>
        </w:rPr>
        <w:t>：</w:t>
      </w:r>
    </w:p>
    <w:p w14:paraId="5664B7AD">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受益人：</w:t>
      </w:r>
      <w:r>
        <w:rPr>
          <w:rFonts w:ascii="宋体" w:hAnsi="宋体" w:eastAsia="宋体" w:cs="Times New Roman"/>
          <w:color w:val="auto"/>
          <w:szCs w:val="21"/>
          <w:highlight w:val="none"/>
        </w:rPr>
        <w:t xml:space="preserve"> </w:t>
      </w:r>
    </w:p>
    <w:p w14:paraId="04B4F2B3">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p>
    <w:p w14:paraId="4FF7F151">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开立人：</w:t>
      </w:r>
    </w:p>
    <w:p w14:paraId="56349ED7">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w:t>
      </w:r>
    </w:p>
    <w:p w14:paraId="1503E935">
      <w:pPr>
        <w:spacing w:line="360" w:lineRule="auto"/>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致：</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u w:val="single"/>
        </w:rPr>
        <w:t>（受益人名称）</w:t>
      </w:r>
      <w:r>
        <w:rPr>
          <w:rFonts w:ascii="宋体" w:hAnsi="宋体" w:eastAsia="宋体" w:cs="Times New Roman"/>
          <w:color w:val="auto"/>
          <w:szCs w:val="21"/>
          <w:highlight w:val="none"/>
          <w:u w:val="single"/>
        </w:rPr>
        <w:t xml:space="preserve"> </w:t>
      </w:r>
    </w:p>
    <w:p w14:paraId="203714C9">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我方（即“开立人”）已获得通知，本保函申请人（即“投标人”）已响应贵方于</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日就</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（以下简称“本工程”）发出的招标文件，并已向招标人（即“受益人”）提交了投标文件（即“基础交易”）。</w:t>
      </w:r>
    </w:p>
    <w:p w14:paraId="3EF249B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我方理解根据招标条件，投标人必须提交一份投标保函（以下简称“本保函”），以担保投标人诚信履行其在上述基础交易中承担的投标人义务。鉴此，应申请人要求，我方在此同意向贵方出具此投标保函，本保函担保金额最高不超过</w:t>
      </w:r>
      <w:r>
        <w:rPr>
          <w:rFonts w:ascii="宋体" w:hAnsi="宋体" w:eastAsia="宋体" w:cs="Times New Roman"/>
          <w:color w:val="auto"/>
          <w:szCs w:val="21"/>
          <w:highlight w:val="none"/>
        </w:rPr>
        <w:t>人民币（大写）</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元（¥</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w:t>
      </w:r>
    </w:p>
    <w:p w14:paraId="14219802">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二、我方在投标人发生以下情形时承担保证担保责任：</w:t>
      </w:r>
      <w:r>
        <w:rPr>
          <w:rFonts w:ascii="宋体" w:hAnsi="宋体" w:eastAsia="宋体" w:cs="Times New Roman"/>
          <w:color w:val="auto"/>
          <w:szCs w:val="21"/>
          <w:highlight w:val="none"/>
        </w:rPr>
        <w:t xml:space="preserve"> </w:t>
      </w:r>
    </w:p>
    <w:p w14:paraId="24AF9BF4">
      <w:pPr>
        <w:spacing w:line="360" w:lineRule="auto"/>
        <w:ind w:left="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w:t>
      </w:r>
      <w:r>
        <w:rPr>
          <w:rFonts w:ascii="宋体" w:hAnsi="宋体" w:eastAsia="宋体" w:cs="Times New Roman"/>
          <w:color w:val="auto"/>
          <w:szCs w:val="21"/>
          <w:highlight w:val="none"/>
        </w:rPr>
        <w:t xml:space="preserve">人在开标后和投标有效期满之前撤销投标的； </w:t>
      </w:r>
    </w:p>
    <w:p w14:paraId="04E15984">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投标人在收到中标通知后，</w:t>
      </w:r>
      <w:r>
        <w:rPr>
          <w:rFonts w:hint="eastAsia" w:ascii="宋体" w:hAnsi="宋体" w:eastAsia="宋体" w:cs="Times New Roman"/>
          <w:color w:val="auto"/>
          <w:szCs w:val="21"/>
          <w:highlight w:val="none"/>
        </w:rPr>
        <w:t>不能或拒绝</w:t>
      </w:r>
      <w:r>
        <w:rPr>
          <w:rFonts w:ascii="宋体" w:hAnsi="宋体" w:eastAsia="宋体" w:cs="Times New Roman"/>
          <w:color w:val="auto"/>
          <w:szCs w:val="21"/>
          <w:highlight w:val="none"/>
        </w:rPr>
        <w:t xml:space="preserve">在中标通知书规定的时间内与贵方签订合同； </w:t>
      </w:r>
    </w:p>
    <w:p w14:paraId="1F829D4C">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（3）投标人在与贵方签订合同后，未在规定的时间内提交符合招标文件要求的履约担保；</w:t>
      </w:r>
    </w:p>
    <w:p w14:paraId="2E04939C">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（4）投标人存在</w:t>
      </w:r>
      <w:r>
        <w:rPr>
          <w:rFonts w:ascii="宋体" w:hAnsi="宋体" w:eastAsia="宋体" w:cs="Times New Roman"/>
          <w:color w:val="auto"/>
          <w:szCs w:val="21"/>
          <w:highlight w:val="none"/>
        </w:rPr>
        <w:t>招标文件规定</w:t>
      </w:r>
      <w:r>
        <w:rPr>
          <w:rFonts w:hint="eastAsia" w:ascii="宋体" w:hAnsi="宋体" w:eastAsia="宋体" w:cs="宋体"/>
          <w:color w:val="auto"/>
          <w:szCs w:val="21"/>
          <w:highlight w:val="none"/>
        </w:rPr>
        <w:t>投标保证金不予退还</w:t>
      </w:r>
      <w:r>
        <w:rPr>
          <w:rFonts w:hint="eastAsia" w:ascii="宋体" w:hAnsi="宋体" w:eastAsia="宋体" w:cs="Times New Roman"/>
          <w:color w:val="auto"/>
          <w:szCs w:val="21"/>
          <w:highlight w:val="none"/>
        </w:rPr>
        <w:t>的其他</w:t>
      </w:r>
      <w:r>
        <w:rPr>
          <w:rFonts w:ascii="宋体" w:hAnsi="宋体" w:eastAsia="宋体" w:cs="Times New Roman"/>
          <w:color w:val="auto"/>
          <w:szCs w:val="21"/>
          <w:highlight w:val="none"/>
        </w:rPr>
        <w:t>情形。</w:t>
      </w:r>
    </w:p>
    <w:p w14:paraId="7E9FB0D7">
      <w:pPr>
        <w:spacing w:line="360" w:lineRule="auto"/>
        <w:ind w:firstLine="42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三、本保函为</w:t>
      </w:r>
      <w:r>
        <w:rPr>
          <w:rFonts w:ascii="宋体" w:hAnsi="宋体" w:eastAsia="宋体" w:cs="Times New Roman"/>
          <w:color w:val="auto"/>
          <w:szCs w:val="21"/>
          <w:highlight w:val="none"/>
        </w:rPr>
        <w:t>不可撤销、</w:t>
      </w:r>
      <w:r>
        <w:rPr>
          <w:rFonts w:hint="eastAsia" w:ascii="宋体" w:hAnsi="宋体" w:eastAsia="宋体" w:cs="Times New Roman"/>
          <w:color w:val="auto"/>
          <w:szCs w:val="21"/>
          <w:highlight w:val="none"/>
        </w:rPr>
        <w:t>不可转让的见索即付</w:t>
      </w:r>
      <w:r>
        <w:rPr>
          <w:rFonts w:ascii="宋体" w:hAnsi="宋体" w:eastAsia="宋体" w:cs="Times New Roman"/>
          <w:color w:val="auto"/>
          <w:szCs w:val="21"/>
          <w:highlight w:val="none"/>
        </w:rPr>
        <w:t>独立</w:t>
      </w:r>
      <w:r>
        <w:rPr>
          <w:rFonts w:hint="eastAsia" w:ascii="宋体" w:hAnsi="宋体" w:eastAsia="宋体" w:cs="Times New Roman"/>
          <w:color w:val="auto"/>
          <w:szCs w:val="21"/>
          <w:highlight w:val="none"/>
        </w:rPr>
        <w:t>保函</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本保函</w:t>
      </w:r>
      <w:r>
        <w:rPr>
          <w:rFonts w:ascii="宋体" w:hAnsi="宋体" w:eastAsia="宋体" w:cs="Times New Roman"/>
          <w:color w:val="auto"/>
          <w:szCs w:val="21"/>
          <w:highlight w:val="none"/>
        </w:rPr>
        <w:t>有效期自</w:t>
      </w:r>
      <w:r>
        <w:rPr>
          <w:rFonts w:hint="eastAsia" w:ascii="宋体" w:hAnsi="宋体" w:eastAsia="宋体" w:cs="Times New Roman"/>
          <w:color w:val="auto"/>
          <w:szCs w:val="21"/>
          <w:highlight w:val="none"/>
        </w:rPr>
        <w:t>开立之日起</w:t>
      </w:r>
      <w:r>
        <w:rPr>
          <w:rFonts w:ascii="宋体" w:hAnsi="宋体" w:eastAsia="宋体" w:cs="Times New Roman"/>
          <w:color w:val="auto"/>
          <w:szCs w:val="21"/>
          <w:highlight w:val="none"/>
        </w:rPr>
        <w:t>至</w:t>
      </w:r>
      <w:r>
        <w:rPr>
          <w:rFonts w:hint="eastAsia" w:ascii="宋体" w:hAnsi="宋体" w:eastAsia="宋体" w:cs="Times New Roman"/>
          <w:color w:val="auto"/>
          <w:szCs w:val="21"/>
          <w:highlight w:val="none"/>
        </w:rPr>
        <w:t>投标有效期届满之日后的</w:t>
      </w:r>
      <w:r>
        <w:rPr>
          <w:rFonts w:hint="eastAsia" w:ascii="宋体" w:hAnsi="宋体" w:eastAsia="宋体" w:cs="Times New Roman"/>
          <w:color w:val="auto"/>
          <w:szCs w:val="21"/>
          <w:highlight w:val="none"/>
          <w:u w:val="single"/>
        </w:rPr>
        <w:t>28</w:t>
      </w:r>
      <w:r>
        <w:rPr>
          <w:rFonts w:hint="eastAsia" w:ascii="宋体" w:hAnsi="宋体" w:eastAsia="宋体" w:cs="Times New Roman"/>
          <w:color w:val="auto"/>
          <w:szCs w:val="21"/>
          <w:highlight w:val="none"/>
        </w:rPr>
        <w:t>日（含）</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投标有效期延长的，本保函有效期相应顺延，最迟不超过</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p>
    <w:p w14:paraId="32C918EC">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79B0E090">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四、我方承诺，在收到受益人发来的书面付款通知后的</w:t>
      </w:r>
      <w:r>
        <w:rPr>
          <w:rFonts w:hint="eastAsia" w:ascii="宋体" w:hAnsi="宋体" w:cs="Times New Roman"/>
          <w:color w:val="auto"/>
          <w:szCs w:val="21"/>
          <w:highlight w:val="none"/>
          <w:u w:val="single"/>
          <w:lang w:val="en-US" w:eastAsia="zh-CN"/>
        </w:rPr>
        <w:t>7</w:t>
      </w:r>
      <w:r>
        <w:rPr>
          <w:rFonts w:hint="eastAsia" w:ascii="宋体" w:hAnsi="宋体" w:eastAsia="宋体" w:cs="Times New Roman"/>
          <w:color w:val="auto"/>
          <w:szCs w:val="21"/>
          <w:highlight w:val="none"/>
        </w:rPr>
        <w:t>日内无条件支付，前述书面付款通知即为付款要求之单据，且应满足以下要求：</w:t>
      </w:r>
    </w:p>
    <w:p w14:paraId="0F5CC4F5">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（1）付款通知到达的日期在本保函的有效期内；</w:t>
      </w:r>
    </w:p>
    <w:p w14:paraId="34FACD2B">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（2）载明要求支付的金额；</w:t>
      </w:r>
    </w:p>
    <w:p w14:paraId="6C1ABFCA">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（3）载明申请人违反招标投标文件规定的义务内容和具体条款；</w:t>
      </w:r>
    </w:p>
    <w:p w14:paraId="7B773627">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（4）声明不存在招标文件规定或我国法律规定免除申请人或我方支付责任的情形；</w:t>
      </w:r>
    </w:p>
    <w:p w14:paraId="3B283E91">
      <w:pPr>
        <w:spacing w:line="360" w:lineRule="auto"/>
        <w:ind w:firstLine="48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（5）书面付款通知应在本保函有效期内到达的地址是：</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p>
    <w:p w14:paraId="210A989C">
      <w:pPr>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受益人发出的书面付款通知应由其为鉴明受益人法定代表人（负责人）或授权代理人签字并加盖公章。</w:t>
      </w:r>
    </w:p>
    <w:p w14:paraId="656BA7C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五、</w:t>
      </w:r>
      <w:r>
        <w:rPr>
          <w:rFonts w:ascii="宋体" w:hAnsi="宋体" w:eastAsia="宋体" w:cs="Times New Roman"/>
          <w:color w:val="auto"/>
          <w:szCs w:val="21"/>
          <w:highlight w:val="none"/>
        </w:rPr>
        <w:t>本保函项下的权利不得转让，不得设定担保。</w:t>
      </w:r>
      <w:r>
        <w:rPr>
          <w:rFonts w:hint="eastAsia" w:ascii="宋体" w:hAnsi="宋体" w:eastAsia="宋体" w:cs="Times New Roman"/>
          <w:color w:val="auto"/>
          <w:szCs w:val="21"/>
          <w:highlight w:val="none"/>
        </w:rPr>
        <w:t>贵方</w:t>
      </w:r>
      <w:r>
        <w:rPr>
          <w:rFonts w:ascii="宋体" w:hAnsi="宋体" w:eastAsia="宋体" w:cs="Times New Roman"/>
          <w:color w:val="auto"/>
          <w:szCs w:val="21"/>
          <w:highlight w:val="none"/>
        </w:rPr>
        <w:t>未经我方书面同意转让本保函或其项下任何权利，</w:t>
      </w:r>
      <w:r>
        <w:rPr>
          <w:rFonts w:hint="eastAsia" w:ascii="宋体" w:hAnsi="宋体" w:eastAsia="宋体" w:cs="Times New Roman"/>
          <w:color w:val="auto"/>
          <w:szCs w:val="21"/>
          <w:highlight w:val="none"/>
        </w:rPr>
        <w:t>对我方不发生法律效力</w:t>
      </w:r>
      <w:r>
        <w:rPr>
          <w:rFonts w:ascii="宋体" w:hAnsi="宋体" w:eastAsia="宋体" w:cs="Times New Roman"/>
          <w:color w:val="auto"/>
          <w:szCs w:val="21"/>
          <w:highlight w:val="none"/>
        </w:rPr>
        <w:t xml:space="preserve">。 </w:t>
      </w:r>
    </w:p>
    <w:p w14:paraId="437A747C">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六、</w:t>
      </w:r>
      <w:r>
        <w:rPr>
          <w:rFonts w:ascii="宋体" w:hAnsi="宋体" w:eastAsia="宋体" w:cs="Times New Roman"/>
          <w:color w:val="auto"/>
          <w:szCs w:val="21"/>
          <w:highlight w:val="none"/>
        </w:rPr>
        <w:t xml:space="preserve">本保函项下的基础交易不成立、不生效、无效、被撤销、被解除，不影响本保函的独立有效。 </w:t>
      </w:r>
    </w:p>
    <w:p w14:paraId="71F3375B">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七、受益人</w:t>
      </w:r>
      <w:r>
        <w:rPr>
          <w:rFonts w:ascii="宋体" w:hAnsi="宋体" w:eastAsia="宋体" w:cs="Times New Roman"/>
          <w:color w:val="auto"/>
          <w:szCs w:val="21"/>
          <w:highlight w:val="none"/>
        </w:rPr>
        <w:t>应在本保函到期后的</w:t>
      </w:r>
      <w:r>
        <w:rPr>
          <w:rFonts w:hint="eastAsia" w:ascii="宋体" w:hAnsi="宋体" w:eastAsia="宋体" w:cs="Times New Roman"/>
          <w:color w:val="auto"/>
          <w:szCs w:val="21"/>
          <w:highlight w:val="none"/>
        </w:rPr>
        <w:t>七</w:t>
      </w:r>
      <w:r>
        <w:rPr>
          <w:rFonts w:ascii="宋体" w:hAnsi="宋体" w:eastAsia="宋体" w:cs="Times New Roman"/>
          <w:color w:val="auto"/>
          <w:szCs w:val="21"/>
          <w:highlight w:val="none"/>
        </w:rPr>
        <w:t>日内将本保函正本退回我方</w:t>
      </w:r>
      <w:r>
        <w:rPr>
          <w:rFonts w:hint="eastAsia" w:ascii="宋体" w:hAnsi="宋体" w:eastAsia="宋体" w:cs="Times New Roman"/>
          <w:color w:val="auto"/>
          <w:szCs w:val="21"/>
          <w:highlight w:val="none"/>
        </w:rPr>
        <w:t>注销</w:t>
      </w:r>
      <w:r>
        <w:rPr>
          <w:rFonts w:ascii="宋体" w:hAnsi="宋体" w:eastAsia="宋体" w:cs="Times New Roman"/>
          <w:color w:val="auto"/>
          <w:szCs w:val="21"/>
          <w:highlight w:val="none"/>
        </w:rPr>
        <w:t>，但是不论</w:t>
      </w:r>
      <w:r>
        <w:rPr>
          <w:rFonts w:hint="eastAsia" w:ascii="宋体" w:hAnsi="宋体" w:eastAsia="宋体" w:cs="Times New Roman"/>
          <w:color w:val="auto"/>
          <w:szCs w:val="21"/>
          <w:highlight w:val="none"/>
        </w:rPr>
        <w:t>受益人</w:t>
      </w:r>
      <w:r>
        <w:rPr>
          <w:rFonts w:ascii="宋体" w:hAnsi="宋体" w:eastAsia="宋体" w:cs="Times New Roman"/>
          <w:color w:val="auto"/>
          <w:szCs w:val="21"/>
          <w:highlight w:val="none"/>
        </w:rPr>
        <w:t>是否按此要求将本保函正本退回我方，我方在本保函项下的义务和责任均在保函</w:t>
      </w:r>
      <w:r>
        <w:rPr>
          <w:rFonts w:hint="eastAsia" w:ascii="宋体" w:hAnsi="宋体" w:eastAsia="宋体" w:cs="Times New Roman"/>
          <w:color w:val="auto"/>
          <w:szCs w:val="21"/>
          <w:highlight w:val="none"/>
        </w:rPr>
        <w:t>有效期</w:t>
      </w:r>
      <w:r>
        <w:rPr>
          <w:rFonts w:ascii="宋体" w:hAnsi="宋体" w:eastAsia="宋体" w:cs="Times New Roman"/>
          <w:color w:val="auto"/>
          <w:szCs w:val="21"/>
          <w:highlight w:val="none"/>
        </w:rPr>
        <w:t xml:space="preserve">到期后自动消灭。 </w:t>
      </w:r>
    </w:p>
    <w:p w14:paraId="1571C131">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八、</w:t>
      </w:r>
      <w:r>
        <w:rPr>
          <w:rFonts w:ascii="宋体" w:hAnsi="宋体" w:eastAsia="宋体" w:cs="Times New Roman"/>
          <w:color w:val="auto"/>
          <w:szCs w:val="21"/>
          <w:highlight w:val="none"/>
        </w:rPr>
        <w:t>本保函</w:t>
      </w:r>
      <w:r>
        <w:rPr>
          <w:rFonts w:hint="eastAsia" w:ascii="宋体" w:hAnsi="宋体" w:eastAsia="宋体" w:cs="Times New Roman"/>
          <w:color w:val="auto"/>
          <w:szCs w:val="21"/>
          <w:highlight w:val="none"/>
        </w:rPr>
        <w:t>适用的法律为中华人民共和国法律，争议裁判管辖地为中华人民共和国</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 xml:space="preserve"> </w:t>
      </w:r>
    </w:p>
    <w:p w14:paraId="41EA9014">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九、</w:t>
      </w:r>
      <w:r>
        <w:rPr>
          <w:rFonts w:ascii="宋体" w:hAnsi="宋体" w:eastAsia="宋体" w:cs="Times New Roman"/>
          <w:color w:val="auto"/>
          <w:szCs w:val="21"/>
          <w:highlight w:val="none"/>
        </w:rPr>
        <w:t>本保函自我方法定代表人</w:t>
      </w:r>
      <w:r>
        <w:rPr>
          <w:rFonts w:hint="eastAsia" w:ascii="宋体" w:hAnsi="宋体" w:eastAsia="宋体" w:cs="Times New Roman"/>
          <w:color w:val="auto"/>
          <w:szCs w:val="21"/>
          <w:highlight w:val="none"/>
        </w:rPr>
        <w:t>或授权代表</w:t>
      </w:r>
      <w:r>
        <w:rPr>
          <w:rFonts w:ascii="宋体" w:hAnsi="宋体" w:eastAsia="宋体" w:cs="Times New Roman"/>
          <w:color w:val="auto"/>
          <w:szCs w:val="21"/>
          <w:highlight w:val="none"/>
        </w:rPr>
        <w:t>签字</w:t>
      </w:r>
      <w:r>
        <w:rPr>
          <w:rFonts w:hint="eastAsia" w:ascii="宋体" w:hAnsi="宋体" w:eastAsia="宋体" w:cs="Times New Roman"/>
          <w:color w:val="auto"/>
          <w:szCs w:val="21"/>
          <w:highlight w:val="none"/>
        </w:rPr>
        <w:t>并</w:t>
      </w:r>
      <w:r>
        <w:rPr>
          <w:rFonts w:ascii="宋体" w:hAnsi="宋体" w:eastAsia="宋体" w:cs="Times New Roman"/>
          <w:color w:val="auto"/>
          <w:szCs w:val="21"/>
          <w:highlight w:val="none"/>
        </w:rPr>
        <w:t xml:space="preserve">加盖公章之日起生效。 </w:t>
      </w:r>
    </w:p>
    <w:p w14:paraId="1D36167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查验保函网址：</w:t>
      </w:r>
      <w:r>
        <w:rPr>
          <w:rFonts w:hint="eastAsia" w:ascii="宋体" w:hAnsi="宋体" w:eastAsia="宋体" w:cs="宋体"/>
          <w:color w:val="auto"/>
          <w:szCs w:val="21"/>
          <w:highlight w:val="none"/>
          <w:u w:val="single"/>
        </w:rPr>
        <w:t xml:space="preserve">            （必填）</w:t>
      </w:r>
      <w:r>
        <w:rPr>
          <w:rFonts w:ascii="宋体" w:hAnsi="宋体" w:eastAsia="宋体" w:cs="宋体"/>
          <w:color w:val="auto"/>
          <w:szCs w:val="21"/>
          <w:highlight w:val="none"/>
          <w:u w:val="single"/>
        </w:rPr>
        <w:t xml:space="preserve">               </w:t>
      </w:r>
    </w:p>
    <w:p w14:paraId="79907CB9">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开 立 人</w:t>
      </w:r>
      <w:r>
        <w:rPr>
          <w:rFonts w:ascii="宋体" w:hAnsi="宋体" w:eastAsia="宋体" w:cs="Times New Roman"/>
          <w:color w:val="auto"/>
          <w:szCs w:val="21"/>
          <w:highlight w:val="none"/>
        </w:rPr>
        <w:t>：</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公</w:t>
      </w:r>
      <w:r>
        <w:rPr>
          <w:rFonts w:ascii="宋体" w:hAnsi="宋体" w:eastAsia="宋体" w:cs="Times New Roman"/>
          <w:color w:val="auto"/>
          <w:szCs w:val="21"/>
          <w:highlight w:val="none"/>
        </w:rPr>
        <w:t xml:space="preserve">章） </w:t>
      </w:r>
    </w:p>
    <w:p w14:paraId="67323CC7">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法定代表人（或授权代表） ：</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 xml:space="preserve">（签字） </w:t>
      </w:r>
    </w:p>
    <w:p w14:paraId="502334B9">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地</w:t>
      </w:r>
      <w:r>
        <w:rPr>
          <w:rFonts w:ascii="宋体" w:hAnsi="宋体" w:eastAsia="宋体" w:cs="Times New Roman"/>
          <w:color w:val="auto"/>
          <w:szCs w:val="21"/>
          <w:highlight w:val="none"/>
        </w:rPr>
        <w:t xml:space="preserve">    址：</w:t>
      </w:r>
      <w:r>
        <w:rPr>
          <w:rFonts w:ascii="宋体" w:hAnsi="宋体" w:eastAsia="宋体" w:cs="Times New Roman"/>
          <w:color w:val="auto"/>
          <w:szCs w:val="21"/>
          <w:highlight w:val="none"/>
          <w:u w:val="single"/>
        </w:rPr>
        <w:t xml:space="preserve">                                       </w:t>
      </w:r>
    </w:p>
    <w:p w14:paraId="235E5C2A">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邮政编码：</w:t>
      </w:r>
      <w:r>
        <w:rPr>
          <w:rFonts w:ascii="宋体" w:hAnsi="宋体" w:eastAsia="宋体" w:cs="Times New Roman"/>
          <w:color w:val="auto"/>
          <w:szCs w:val="21"/>
          <w:highlight w:val="none"/>
          <w:u w:val="single"/>
        </w:rPr>
        <w:t xml:space="preserve">                 </w:t>
      </w:r>
    </w:p>
    <w:p w14:paraId="4947CDAF">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电</w:t>
      </w:r>
      <w:r>
        <w:rPr>
          <w:rFonts w:ascii="宋体" w:hAnsi="宋体" w:eastAsia="宋体" w:cs="Times New Roman"/>
          <w:color w:val="auto"/>
          <w:szCs w:val="21"/>
          <w:highlight w:val="none"/>
        </w:rPr>
        <w:t xml:space="preserve">    话：</w:t>
      </w:r>
      <w:r>
        <w:rPr>
          <w:rFonts w:ascii="宋体" w:hAnsi="宋体" w:eastAsia="宋体" w:cs="Times New Roman"/>
          <w:color w:val="auto"/>
          <w:szCs w:val="21"/>
          <w:highlight w:val="none"/>
          <w:u w:val="single"/>
        </w:rPr>
        <w:t xml:space="preserve">                 </w:t>
      </w:r>
    </w:p>
    <w:p w14:paraId="5448A6A3">
      <w:pPr>
        <w:spacing w:line="360" w:lineRule="auto"/>
        <w:ind w:firstLine="420" w:firstLineChars="20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传</w:t>
      </w:r>
      <w:r>
        <w:rPr>
          <w:rFonts w:ascii="宋体" w:hAnsi="宋体" w:eastAsia="宋体" w:cs="Times New Roman"/>
          <w:color w:val="auto"/>
          <w:szCs w:val="21"/>
          <w:highlight w:val="none"/>
        </w:rPr>
        <w:t xml:space="preserve">    真：</w:t>
      </w:r>
      <w:r>
        <w:rPr>
          <w:rFonts w:ascii="宋体" w:hAnsi="宋体" w:eastAsia="宋体" w:cs="Times New Roman"/>
          <w:color w:val="auto"/>
          <w:szCs w:val="21"/>
          <w:highlight w:val="none"/>
          <w:u w:val="single"/>
        </w:rPr>
        <w:t xml:space="preserve">                 </w:t>
      </w:r>
    </w:p>
    <w:p w14:paraId="30948437">
      <w:pPr>
        <w:spacing w:line="52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开立时间：</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年</w:t>
      </w:r>
      <w:r>
        <w:rPr>
          <w:rFonts w:ascii="宋体" w:hAnsi="宋体" w:eastAsia="宋体" w:cs="Times New Roman"/>
          <w:color w:val="auto"/>
          <w:szCs w:val="21"/>
          <w:highlight w:val="none"/>
          <w:u w:val="single"/>
        </w:rPr>
        <w:t xml:space="preserve">      </w:t>
      </w:r>
      <w:r>
        <w:rPr>
          <w:rFonts w:ascii="宋体" w:hAnsi="宋体" w:eastAsia="宋体" w:cs="Times New Roman"/>
          <w:color w:val="auto"/>
          <w:szCs w:val="21"/>
          <w:highlight w:val="none"/>
        </w:rPr>
        <w:t>月</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14:paraId="22C64813">
      <w:pPr>
        <w:spacing w:line="520" w:lineRule="exact"/>
        <w:rPr>
          <w:rFonts w:ascii="Arial" w:hAnsi="Arial" w:eastAsia="黑体" w:cs="Times New Roman"/>
          <w:b/>
          <w:bCs/>
          <w:color w:val="auto"/>
          <w:sz w:val="28"/>
          <w:szCs w:val="28"/>
          <w:highlight w:val="none"/>
        </w:rPr>
      </w:pPr>
      <w:r>
        <w:rPr>
          <w:rFonts w:hint="eastAsia" w:ascii="宋体" w:hAnsi="宋体" w:eastAsia="宋体" w:cs="Times New Roman"/>
          <w:color w:val="auto"/>
          <w:szCs w:val="21"/>
          <w:highlight w:val="none"/>
        </w:rPr>
        <w:br w:type="page"/>
      </w:r>
      <w:r>
        <w:rPr>
          <w:rFonts w:hint="eastAsia" w:ascii="宋体" w:hAnsi="宋体" w:eastAsia="宋体" w:cs="宋体"/>
          <w:color w:val="auto"/>
          <w:kern w:val="2"/>
          <w:sz w:val="32"/>
          <w:szCs w:val="32"/>
          <w:highlight w:val="none"/>
          <w:lang w:val="en-US" w:eastAsia="zh-CN" w:bidi="ar-SA"/>
        </w:rPr>
        <w:t>附件2：</w:t>
      </w:r>
      <w:r>
        <w:rPr>
          <w:rFonts w:hint="eastAsia" w:ascii="Arial" w:hAnsi="Arial" w:eastAsia="黑体" w:cs="Times New Roman"/>
          <w:b/>
          <w:bCs/>
          <w:color w:val="auto"/>
          <w:sz w:val="28"/>
          <w:szCs w:val="28"/>
          <w:highlight w:val="none"/>
        </w:rPr>
        <w:t>保函开立人出具的到账证明（格式）</w:t>
      </w:r>
    </w:p>
    <w:p w14:paraId="55765765">
      <w:pPr>
        <w:spacing w:before="120" w:after="120" w:line="360" w:lineRule="auto"/>
        <w:rPr>
          <w:rFonts w:ascii="宋体" w:hAnsi="宋体" w:eastAsia="宋体" w:cs="宋体"/>
          <w:color w:val="auto"/>
          <w:sz w:val="28"/>
          <w:szCs w:val="22"/>
          <w:highlight w:val="none"/>
        </w:rPr>
      </w:pPr>
    </w:p>
    <w:p w14:paraId="197C4507">
      <w:pPr>
        <w:spacing w:after="312" w:afterLines="100" w:line="360" w:lineRule="auto"/>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到账证明</w:t>
      </w:r>
    </w:p>
    <w:p w14:paraId="424D0D98">
      <w:pPr>
        <w:spacing w:line="360" w:lineRule="auto"/>
        <w:jc w:val="center"/>
        <w:rPr>
          <w:rFonts w:ascii="Calibri" w:hAnsi="Calibri" w:eastAsia="仿宋_GB2312" w:cs="Times New Roman"/>
          <w:color w:val="auto"/>
          <w:sz w:val="32"/>
          <w:szCs w:val="32"/>
          <w:highlight w:val="none"/>
        </w:rPr>
      </w:pPr>
    </w:p>
    <w:p w14:paraId="068AAC8D">
      <w:pPr>
        <w:spacing w:line="360" w:lineRule="auto"/>
        <w:jc w:val="center"/>
        <w:rPr>
          <w:rFonts w:ascii="宋体" w:hAnsi="宋体" w:eastAsia="宋体" w:cs="宋体"/>
          <w:b/>
          <w:bCs/>
          <w:color w:val="auto"/>
          <w:sz w:val="24"/>
          <w:szCs w:val="24"/>
          <w:highlight w:val="none"/>
        </w:rPr>
      </w:pPr>
    </w:p>
    <w:p w14:paraId="7A277FA1">
      <w:pPr>
        <w:widowControl/>
        <w:spacing w:line="480" w:lineRule="auto"/>
        <w:jc w:val="left"/>
        <w:rPr>
          <w:rFonts w:ascii="宋体" w:hAnsi="宋体" w:eastAsia="宋体" w:cs="宋体"/>
          <w:color w:val="auto"/>
          <w:szCs w:val="21"/>
          <w:highlight w:val="none"/>
        </w:rPr>
      </w:pPr>
      <w:r>
        <w:rPr>
          <w:rFonts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single"/>
        </w:rPr>
        <w:t>（招标人名称）</w:t>
      </w:r>
      <w:r>
        <w:rPr>
          <w:rFonts w:ascii="Calibri" w:hAnsi="Calibri" w:eastAsia="宋体" w:cs="Times New Roman"/>
          <w:color w:val="auto"/>
          <w:szCs w:val="21"/>
          <w:highlight w:val="none"/>
          <w:u w:val="single"/>
        </w:rPr>
        <w:t xml:space="preserve">       </w:t>
      </w:r>
      <w:r>
        <w:rPr>
          <w:rFonts w:hint="eastAsia" w:ascii="宋体" w:hAnsi="宋体" w:eastAsia="宋体" w:cs="宋体"/>
          <w:color w:val="auto"/>
          <w:szCs w:val="21"/>
          <w:highlight w:val="none"/>
        </w:rPr>
        <w:t>：</w:t>
      </w:r>
    </w:p>
    <w:p w14:paraId="08C93AC2">
      <w:pPr>
        <w:widowControl/>
        <w:spacing w:line="48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就</w:t>
      </w:r>
      <w:r>
        <w:rPr>
          <w:rFonts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single"/>
        </w:rPr>
        <w:t>（投标人名称）</w:t>
      </w:r>
      <w:r>
        <w:rPr>
          <w:rFonts w:ascii="Calibri" w:hAnsi="Calibri" w:eastAsia="宋体" w:cs="Times New Roman"/>
          <w:color w:val="auto"/>
          <w:szCs w:val="21"/>
          <w:highlight w:val="none"/>
          <w:u w:val="single"/>
        </w:rPr>
        <w:t xml:space="preserve">       </w:t>
      </w:r>
      <w:r>
        <w:rPr>
          <w:rFonts w:hint="eastAsia" w:ascii="宋体" w:hAnsi="宋体" w:eastAsia="宋体" w:cs="宋体"/>
          <w:color w:val="auto"/>
          <w:szCs w:val="21"/>
          <w:highlight w:val="none"/>
        </w:rPr>
        <w:t>申请开立招标项目编号为</w:t>
      </w:r>
      <w:r>
        <w:rPr>
          <w:rFonts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single"/>
        </w:rPr>
        <w:t>（招标项目编号）</w:t>
      </w:r>
      <w:r>
        <w:rPr>
          <w:rFonts w:ascii="Calibri" w:hAnsi="Calibri" w:eastAsia="宋体" w:cs="Times New Roman"/>
          <w:color w:val="auto"/>
          <w:szCs w:val="21"/>
          <w:highlight w:val="none"/>
          <w:u w:val="single"/>
        </w:rPr>
        <w:t xml:space="preserve">      </w:t>
      </w:r>
      <w:r>
        <w:rPr>
          <w:rFonts w:hint="eastAsia" w:ascii="宋体" w:hAnsi="宋体" w:eastAsia="宋体" w:cs="宋体"/>
          <w:color w:val="auto"/>
          <w:szCs w:val="21"/>
          <w:highlight w:val="none"/>
        </w:rPr>
        <w:t>的</w:t>
      </w:r>
      <w:r>
        <w:rPr>
          <w:rFonts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single"/>
        </w:rPr>
        <w:t>（招标项目名称）</w:t>
      </w:r>
      <w:r>
        <w:rPr>
          <w:rFonts w:ascii="Calibri" w:hAnsi="Calibri" w:eastAsia="宋体" w:cs="Times New Roman"/>
          <w:color w:val="auto"/>
          <w:szCs w:val="21"/>
          <w:highlight w:val="none"/>
          <w:u w:val="single"/>
        </w:rPr>
        <w:t xml:space="preserve">      </w:t>
      </w:r>
      <w:r>
        <w:rPr>
          <w:rFonts w:hint="eastAsia" w:ascii="宋体" w:hAnsi="宋体" w:eastAsia="宋体" w:cs="宋体"/>
          <w:color w:val="auto"/>
          <w:szCs w:val="21"/>
          <w:highlight w:val="none"/>
        </w:rPr>
        <w:t>的</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（保函金额）</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元投标保函，我方收款账号为</w:t>
      </w:r>
      <w:r>
        <w:rPr>
          <w:rFonts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single"/>
        </w:rPr>
        <w:t>（</w:t>
      </w:r>
      <w:r>
        <w:rPr>
          <w:rFonts w:hint="eastAsia" w:ascii="宋体" w:hAnsi="宋体" w:eastAsia="宋体" w:cs="宋体"/>
          <w:color w:val="auto"/>
          <w:szCs w:val="21"/>
          <w:highlight w:val="none"/>
          <w:u w:val="single"/>
        </w:rPr>
        <w:t>保函开立人收款账号</w:t>
      </w:r>
      <w:r>
        <w:rPr>
          <w:rFonts w:hint="eastAsia" w:ascii="Calibri" w:hAnsi="Calibri" w:eastAsia="宋体" w:cs="Times New Roman"/>
          <w:color w:val="auto"/>
          <w:szCs w:val="21"/>
          <w:highlight w:val="none"/>
          <w:u w:val="single"/>
        </w:rPr>
        <w:t>）</w:t>
      </w:r>
      <w:r>
        <w:rPr>
          <w:rFonts w:ascii="Calibri" w:hAnsi="Calibri" w:eastAsia="宋体" w:cs="Times New Roman"/>
          <w:color w:val="auto"/>
          <w:szCs w:val="21"/>
          <w:highlight w:val="none"/>
          <w:u w:val="single"/>
        </w:rPr>
        <w:t xml:space="preserve"> </w:t>
      </w:r>
      <w:r>
        <w:rPr>
          <w:rFonts w:hint="eastAsia" w:ascii="宋体" w:hAnsi="宋体" w:eastAsia="宋体" w:cs="宋体"/>
          <w:color w:val="auto"/>
          <w:szCs w:val="21"/>
          <w:highlight w:val="none"/>
        </w:rPr>
        <w:t>的收款账户，已于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日收到该投标人通过付款账号:</w:t>
      </w:r>
      <w:r>
        <w:rPr>
          <w:rFonts w:ascii="Calibri" w:hAnsi="Calibri" w:eastAsia="宋体" w:cs="Times New Roman"/>
          <w:color w:val="auto"/>
          <w:szCs w:val="21"/>
          <w:highlight w:val="none"/>
          <w:u w:val="single"/>
        </w:rPr>
        <w:t xml:space="preserve">      </w:t>
      </w:r>
      <w:r>
        <w:rPr>
          <w:rFonts w:hint="eastAsia" w:ascii="Calibri" w:hAnsi="Calibri" w:eastAsia="宋体" w:cs="Times New Roman"/>
          <w:color w:val="auto"/>
          <w:szCs w:val="21"/>
          <w:highlight w:val="none"/>
          <w:u w:val="single"/>
        </w:rPr>
        <w:t>（投标人</w:t>
      </w:r>
      <w:r>
        <w:rPr>
          <w:rFonts w:hint="eastAsia" w:ascii="宋体" w:hAnsi="宋体" w:eastAsia="宋体" w:cs="宋体"/>
          <w:color w:val="auto"/>
          <w:szCs w:val="21"/>
          <w:highlight w:val="none"/>
          <w:u w:val="single"/>
        </w:rPr>
        <w:t>付款账号</w:t>
      </w:r>
      <w:r>
        <w:rPr>
          <w:rFonts w:hint="eastAsia" w:ascii="Calibri" w:hAnsi="Calibri" w:eastAsia="宋体" w:cs="Times New Roman"/>
          <w:color w:val="auto"/>
          <w:szCs w:val="21"/>
          <w:highlight w:val="none"/>
          <w:u w:val="single"/>
        </w:rPr>
        <w:t>）</w:t>
      </w:r>
      <w:r>
        <w:rPr>
          <w:rFonts w:ascii="Calibri" w:hAnsi="Calibri" w:eastAsia="宋体" w:cs="Times New Roman"/>
          <w:color w:val="auto"/>
          <w:szCs w:val="21"/>
          <w:highlight w:val="none"/>
          <w:u w:val="single"/>
        </w:rPr>
        <w:t xml:space="preserve">     </w:t>
      </w:r>
      <w:r>
        <w:rPr>
          <w:rFonts w:hint="eastAsia" w:ascii="宋体" w:hAnsi="宋体" w:eastAsia="宋体" w:cs="宋体"/>
          <w:color w:val="auto"/>
          <w:szCs w:val="21"/>
          <w:highlight w:val="none"/>
        </w:rPr>
        <w:t>的付款账户支付的保函费用。</w:t>
      </w:r>
    </w:p>
    <w:p w14:paraId="48816F40">
      <w:pPr>
        <w:widowControl/>
        <w:spacing w:line="48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321B6444">
      <w:pPr>
        <w:widowControl/>
        <w:spacing w:line="480" w:lineRule="auto"/>
        <w:ind w:firstLine="420" w:firstLineChars="200"/>
        <w:jc w:val="left"/>
        <w:rPr>
          <w:rFonts w:ascii="宋体" w:hAnsi="宋体" w:eastAsia="宋体" w:cs="宋体"/>
          <w:color w:val="auto"/>
          <w:szCs w:val="21"/>
          <w:highlight w:val="none"/>
        </w:rPr>
      </w:pPr>
    </w:p>
    <w:p w14:paraId="2D2633C2">
      <w:pPr>
        <w:widowControl/>
        <w:spacing w:line="480" w:lineRule="auto"/>
        <w:ind w:firstLine="420" w:firstLineChars="200"/>
        <w:jc w:val="left"/>
        <w:rPr>
          <w:rFonts w:ascii="宋体" w:hAnsi="宋体" w:eastAsia="宋体" w:cs="宋体"/>
          <w:color w:val="auto"/>
          <w:szCs w:val="21"/>
          <w:highlight w:val="none"/>
        </w:rPr>
      </w:pPr>
    </w:p>
    <w:p w14:paraId="71587D86">
      <w:pPr>
        <w:spacing w:line="480" w:lineRule="auto"/>
        <w:ind w:firstLine="210" w:firstLineChars="100"/>
        <w:jc w:val="right"/>
        <w:rPr>
          <w:rFonts w:ascii="宋体" w:hAnsi="宋体" w:eastAsia="宋体" w:cs="宋体"/>
          <w:color w:val="auto"/>
          <w:szCs w:val="21"/>
          <w:highlight w:val="none"/>
        </w:rPr>
      </w:pPr>
      <w:r>
        <w:rPr>
          <w:rFonts w:hint="eastAsia" w:ascii="宋体" w:hAnsi="宋体" w:eastAsia="宋体" w:cs="宋体"/>
          <w:color w:val="auto"/>
          <w:szCs w:val="21"/>
          <w:highlight w:val="none"/>
        </w:rPr>
        <w:t>保函开立人：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（盖章） </w:t>
      </w:r>
    </w:p>
    <w:p w14:paraId="60ABF5C3">
      <w:pPr>
        <w:spacing w:line="42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3122B6C">
      <w:pPr>
        <w:spacing w:after="120"/>
        <w:ind w:left="420" w:leftChars="200" w:firstLine="420"/>
        <w:rPr>
          <w:rFonts w:ascii="宋体" w:hAnsi="宋体" w:eastAsia="仿宋_GB2312" w:cs="Times New Roman"/>
          <w:color w:val="auto"/>
          <w:kern w:val="1"/>
          <w:sz w:val="32"/>
          <w:szCs w:val="21"/>
          <w:highlight w:val="none"/>
        </w:rPr>
      </w:pPr>
    </w:p>
    <w:p w14:paraId="173C80B5">
      <w:pPr>
        <w:pStyle w:val="20"/>
        <w:rPr>
          <w:rFonts w:hint="eastAsia"/>
          <w:color w:val="auto"/>
          <w:highlight w:val="none"/>
        </w:rPr>
      </w:pPr>
    </w:p>
    <w:p w14:paraId="27650C66">
      <w:pPr>
        <w:pStyle w:val="20"/>
        <w:rPr>
          <w:rFonts w:hint="eastAsia"/>
          <w:color w:val="auto"/>
          <w:highlight w:val="none"/>
        </w:rPr>
      </w:pPr>
    </w:p>
    <w:p w14:paraId="58EC9FC3">
      <w:pPr>
        <w:pStyle w:val="20"/>
        <w:rPr>
          <w:rFonts w:hint="eastAsia"/>
          <w:color w:val="auto"/>
          <w:highlight w:val="none"/>
        </w:rPr>
      </w:pPr>
    </w:p>
    <w:p w14:paraId="2F05EAEB">
      <w:pPr>
        <w:pStyle w:val="20"/>
        <w:rPr>
          <w:rFonts w:hint="eastAsia"/>
          <w:color w:val="auto"/>
          <w:highlight w:val="none"/>
        </w:rPr>
      </w:pPr>
    </w:p>
    <w:p w14:paraId="3AE0FB04">
      <w:pPr>
        <w:pStyle w:val="20"/>
        <w:rPr>
          <w:rFonts w:hint="eastAsia"/>
          <w:color w:val="auto"/>
          <w:highlight w:val="none"/>
        </w:rPr>
      </w:pPr>
    </w:p>
    <w:p w14:paraId="7C036F90">
      <w:pPr>
        <w:rPr>
          <w:color w:val="auto"/>
          <w:highlight w:val="none"/>
        </w:rPr>
      </w:pPr>
    </w:p>
    <w:p w14:paraId="306BCD24">
      <w:pPr>
        <w:rPr>
          <w:color w:val="auto"/>
          <w:highlight w:val="none"/>
        </w:rPr>
      </w:pPr>
    </w:p>
    <w:p w14:paraId="293B9BE8">
      <w:pPr>
        <w:rPr>
          <w:color w:val="auto"/>
          <w:highlight w:val="none"/>
        </w:rPr>
      </w:pPr>
    </w:p>
    <w:p w14:paraId="0092C218">
      <w:pPr>
        <w:rPr>
          <w:color w:val="auto"/>
          <w:highlight w:val="none"/>
        </w:rPr>
      </w:pPr>
    </w:p>
    <w:p w14:paraId="6AC1FBDE">
      <w:pPr>
        <w:rPr>
          <w:color w:val="auto"/>
          <w:highlight w:val="none"/>
        </w:rPr>
      </w:pPr>
    </w:p>
    <w:p w14:paraId="0D9B5A5D">
      <w:pPr>
        <w:keepNext/>
        <w:keepLines/>
        <w:pageBreakBefore/>
        <w:suppressAutoHyphens/>
        <w:adjustRightInd w:val="0"/>
        <w:spacing w:after="120" w:line="360" w:lineRule="auto"/>
        <w:textAlignment w:val="baseline"/>
        <w:outlineLvl w:val="2"/>
        <w:rPr>
          <w:rFonts w:ascii="宋体" w:hAnsi="宋体" w:cs="宋体"/>
          <w:b/>
          <w:bCs/>
          <w:color w:val="auto"/>
          <w:kern w:val="0"/>
          <w:sz w:val="28"/>
          <w:szCs w:val="28"/>
          <w:highlight w:val="none"/>
        </w:rPr>
      </w:pPr>
      <w:bookmarkStart w:id="603" w:name="_Toc256000078"/>
      <w:r>
        <w:rPr>
          <w:rFonts w:hint="eastAsia" w:ascii="宋体" w:hAnsi="宋体" w:cs="Times New Roman"/>
          <w:b/>
          <w:bCs/>
          <w:color w:val="auto"/>
          <w:kern w:val="0"/>
          <w:sz w:val="28"/>
          <w:szCs w:val="28"/>
          <w:highlight w:val="none"/>
        </w:rPr>
        <w:t>附件：免缴投标保证金承诺函（格式）</w:t>
      </w:r>
      <w:bookmarkEnd w:id="603"/>
    </w:p>
    <w:p w14:paraId="6D757839">
      <w:pPr>
        <w:suppressAutoHyphens/>
        <w:adjustRightInd w:val="0"/>
        <w:spacing w:line="360" w:lineRule="auto"/>
        <w:jc w:val="left"/>
        <w:textAlignment w:val="baseline"/>
        <w:rPr>
          <w:rFonts w:hint="eastAsia" w:ascii="宋体" w:hAnsi="宋体" w:cs="Times New Roman"/>
          <w:color w:val="auto"/>
          <w:kern w:val="0"/>
          <w:sz w:val="28"/>
          <w:szCs w:val="28"/>
          <w:highlight w:val="none"/>
        </w:rPr>
      </w:pPr>
      <w:r>
        <w:rPr>
          <w:rFonts w:hint="eastAsia" w:ascii="宋体" w:hAnsi="宋体" w:cs="Times New Roman"/>
          <w:color w:val="auto"/>
          <w:kern w:val="0"/>
          <w:sz w:val="28"/>
          <w:szCs w:val="28"/>
          <w:highlight w:val="none"/>
        </w:rPr>
        <w:t xml:space="preserve">     </w:t>
      </w:r>
    </w:p>
    <w:p w14:paraId="70077801">
      <w:pPr>
        <w:suppressAutoHyphens/>
        <w:adjustRightInd w:val="0"/>
        <w:spacing w:line="360" w:lineRule="auto"/>
        <w:jc w:val="center"/>
        <w:textAlignment w:val="baseline"/>
        <w:rPr>
          <w:rFonts w:hint="eastAsia" w:ascii="宋体" w:hAnsi="宋体" w:cs="Times New Roman"/>
          <w:b/>
          <w:bCs/>
          <w:color w:val="auto"/>
          <w:kern w:val="0"/>
          <w:sz w:val="32"/>
          <w:szCs w:val="32"/>
          <w:highlight w:val="none"/>
        </w:rPr>
      </w:pPr>
      <w:r>
        <w:rPr>
          <w:rFonts w:hint="eastAsia" w:ascii="宋体" w:hAnsi="宋体" w:cs="Times New Roman"/>
          <w:b/>
          <w:bCs/>
          <w:color w:val="auto"/>
          <w:kern w:val="0"/>
          <w:sz w:val="32"/>
          <w:szCs w:val="32"/>
          <w:highlight w:val="none"/>
        </w:rPr>
        <w:t>免缴投标保证金承诺函</w:t>
      </w:r>
    </w:p>
    <w:p w14:paraId="5645C808">
      <w:pPr>
        <w:widowControl/>
        <w:suppressAutoHyphens/>
        <w:adjustRightInd w:val="0"/>
        <w:spacing w:line="420" w:lineRule="atLeast"/>
        <w:jc w:val="center"/>
        <w:textAlignment w:val="baseline"/>
        <w:rPr>
          <w:rFonts w:hint="eastAsia" w:ascii="宋体" w:hAnsi="宋体" w:cs="Times New Roman"/>
          <w:color w:val="auto"/>
          <w:kern w:val="1"/>
          <w:sz w:val="32"/>
          <w:szCs w:val="32"/>
          <w:highlight w:val="none"/>
        </w:rPr>
      </w:pPr>
      <w:r>
        <w:rPr>
          <w:rFonts w:hint="eastAsia" w:ascii="宋体" w:hAnsi="宋体" w:cs="Times New Roman"/>
          <w:color w:val="auto"/>
          <w:kern w:val="1"/>
          <w:sz w:val="32"/>
          <w:szCs w:val="32"/>
          <w:highlight w:val="none"/>
        </w:rPr>
        <w:t>（格式）</w:t>
      </w:r>
    </w:p>
    <w:p w14:paraId="2A32621A">
      <w:pPr>
        <w:widowControl/>
        <w:suppressAutoHyphens/>
        <w:adjustRightInd w:val="0"/>
        <w:spacing w:before="100" w:beforeAutospacing="1" w:after="100" w:afterAutospacing="1" w:line="420" w:lineRule="atLeast"/>
        <w:jc w:val="center"/>
        <w:textAlignment w:val="baseline"/>
        <w:rPr>
          <w:rFonts w:hint="eastAsia" w:ascii="宋体" w:hAnsi="宋体" w:cs="Times New Roman"/>
          <w:color w:val="auto"/>
          <w:kern w:val="1"/>
          <w:sz w:val="32"/>
          <w:szCs w:val="32"/>
          <w:highlight w:val="none"/>
        </w:rPr>
      </w:pPr>
      <w:r>
        <w:rPr>
          <w:rFonts w:hint="eastAsia" w:ascii="宋体" w:hAnsi="宋体" w:cs="Times New Roman"/>
          <w:color w:val="auto"/>
          <w:kern w:val="1"/>
          <w:sz w:val="32"/>
          <w:szCs w:val="32"/>
          <w:highlight w:val="none"/>
        </w:rPr>
        <w:t xml:space="preserve"> </w:t>
      </w:r>
    </w:p>
    <w:p w14:paraId="0ECC2B41">
      <w:pPr>
        <w:widowControl/>
        <w:suppressAutoHyphens/>
        <w:adjustRightInd w:val="0"/>
        <w:spacing w:before="100" w:beforeAutospacing="1" w:after="100" w:afterAutospacing="1" w:line="420" w:lineRule="atLeast"/>
        <w:jc w:val="left"/>
        <w:textAlignment w:val="bottom"/>
        <w:rPr>
          <w:rFonts w:hint="eastAsia" w:ascii="宋体" w:hAnsi="宋体" w:cs="Times New Roman"/>
          <w:color w:val="auto"/>
          <w:kern w:val="1"/>
          <w:sz w:val="24"/>
          <w:szCs w:val="24"/>
          <w:highlight w:val="none"/>
        </w:rPr>
      </w:pPr>
      <w:r>
        <w:rPr>
          <w:rFonts w:hint="eastAsia" w:ascii="宋体" w:hAnsi="宋体" w:cs="Times New Roman"/>
          <w:color w:val="auto"/>
          <w:kern w:val="1"/>
          <w:sz w:val="24"/>
          <w:szCs w:val="24"/>
          <w:highlight w:val="none"/>
          <w:u w:val="single"/>
        </w:rPr>
        <w:t>（招标人名称）</w:t>
      </w:r>
      <w:r>
        <w:rPr>
          <w:rFonts w:hint="eastAsia" w:ascii="宋体" w:hAnsi="宋体" w:cs="Times New Roman"/>
          <w:color w:val="auto"/>
          <w:kern w:val="1"/>
          <w:sz w:val="24"/>
          <w:szCs w:val="24"/>
          <w:highlight w:val="none"/>
        </w:rPr>
        <w:t>：</w:t>
      </w:r>
    </w:p>
    <w:p w14:paraId="7AB242B9">
      <w:pPr>
        <w:suppressAutoHyphens/>
        <w:spacing w:line="360" w:lineRule="auto"/>
        <w:ind w:firstLine="480"/>
        <w:rPr>
          <w:rFonts w:hint="eastAsia" w:ascii="宋体" w:hAnsi="宋体" w:cs="Times New Roman"/>
          <w:color w:val="auto"/>
          <w:kern w:val="1"/>
          <w:sz w:val="24"/>
          <w:szCs w:val="24"/>
          <w:highlight w:val="none"/>
        </w:rPr>
      </w:pPr>
      <w:r>
        <w:rPr>
          <w:rFonts w:hint="eastAsia" w:ascii="宋体" w:hAnsi="宋体" w:cs="Times New Roman"/>
          <w:color w:val="auto"/>
          <w:kern w:val="1"/>
          <w:sz w:val="24"/>
          <w:szCs w:val="24"/>
          <w:highlight w:val="none"/>
        </w:rPr>
        <w:t>我司参加</w:t>
      </w:r>
      <w:r>
        <w:rPr>
          <w:rFonts w:hint="eastAsia" w:ascii="宋体" w:hAnsi="宋体" w:cs="Times New Roman"/>
          <w:color w:val="auto"/>
          <w:kern w:val="1"/>
          <w:sz w:val="24"/>
          <w:szCs w:val="24"/>
          <w:highlight w:val="none"/>
          <w:u w:val="single"/>
        </w:rPr>
        <w:t xml:space="preserve"> （招标项目名称及标段）   </w:t>
      </w:r>
      <w:r>
        <w:rPr>
          <w:rFonts w:hint="eastAsia" w:ascii="宋体" w:hAnsi="宋体" w:cs="Times New Roman"/>
          <w:color w:val="auto"/>
          <w:kern w:val="1"/>
          <w:sz w:val="24"/>
          <w:szCs w:val="24"/>
          <w:highlight w:val="none"/>
        </w:rPr>
        <w:t>投标活动，符合招标文件规定的允许免缴投标保证金第</w:t>
      </w:r>
      <w:r>
        <w:rPr>
          <w:rFonts w:hint="eastAsia" w:ascii="宋体" w:hAnsi="宋体" w:cs="Times New Roman"/>
          <w:color w:val="auto"/>
          <w:kern w:val="1"/>
          <w:sz w:val="24"/>
          <w:szCs w:val="24"/>
          <w:highlight w:val="none"/>
          <w:u w:val="single"/>
        </w:rPr>
        <w:t xml:space="preserve"> </w:t>
      </w:r>
      <w:r>
        <w:rPr>
          <w:rFonts w:hint="eastAsia" w:ascii="宋体" w:hAnsi="宋体" w:cs="Times New Roman"/>
          <w:color w:val="auto"/>
          <w:kern w:val="1"/>
          <w:sz w:val="24"/>
          <w:szCs w:val="24"/>
          <w:highlight w:val="none"/>
          <w:u w:val="single"/>
          <w:lang w:val="en-US" w:eastAsia="zh-CN"/>
        </w:rPr>
        <w:t xml:space="preserve"> </w:t>
      </w:r>
      <w:r>
        <w:rPr>
          <w:rFonts w:hint="eastAsia" w:ascii="宋体" w:hAnsi="宋体" w:cs="Times New Roman"/>
          <w:color w:val="auto"/>
          <w:kern w:val="1"/>
          <w:sz w:val="24"/>
          <w:szCs w:val="24"/>
          <w:highlight w:val="none"/>
          <w:u w:val="single"/>
        </w:rPr>
        <w:t xml:space="preserve">  </w:t>
      </w:r>
      <w:r>
        <w:rPr>
          <w:rFonts w:hint="eastAsia" w:ascii="宋体" w:hAnsi="宋体" w:cs="Times New Roman"/>
          <w:color w:val="auto"/>
          <w:kern w:val="1"/>
          <w:sz w:val="24"/>
          <w:szCs w:val="24"/>
          <w:highlight w:val="none"/>
        </w:rPr>
        <w:t>种情形，现免缴投标保证金参与投标。我司承诺按照招标文件要求依法履行投标人义务。若我司存在下列任何一种事实的，收到你方书面通知，我司在7日内无条件地向你方全额付清本招标文件规定的投标保证金金额。</w:t>
      </w:r>
    </w:p>
    <w:p w14:paraId="3DC1C95A">
      <w:pPr>
        <w:suppressAutoHyphens/>
        <w:spacing w:line="360" w:lineRule="auto"/>
        <w:ind w:firstLine="480"/>
        <w:rPr>
          <w:rFonts w:hint="eastAsia" w:ascii="宋体" w:hAnsi="宋体" w:cs="Times New Roman"/>
          <w:color w:val="auto"/>
          <w:kern w:val="1"/>
          <w:sz w:val="24"/>
          <w:szCs w:val="24"/>
          <w:highlight w:val="none"/>
        </w:rPr>
      </w:pPr>
      <w:r>
        <w:rPr>
          <w:rFonts w:hint="eastAsia" w:ascii="宋体" w:hAnsi="宋体" w:cs="Times New Roman"/>
          <w:color w:val="auto"/>
          <w:kern w:val="1"/>
          <w:sz w:val="24"/>
          <w:szCs w:val="24"/>
          <w:highlight w:val="none"/>
        </w:rPr>
        <w:t xml:space="preserve">（1）中标人无正当理由不与招标人订立合同，在签订合同时向贵方提出附加条件，或者不按照招标文件要求提交履约保证金。 </w:t>
      </w:r>
    </w:p>
    <w:p w14:paraId="02F92502">
      <w:pPr>
        <w:suppressAutoHyphens/>
        <w:spacing w:line="360" w:lineRule="auto"/>
        <w:ind w:firstLine="480"/>
        <w:rPr>
          <w:rFonts w:hint="eastAsia" w:ascii="宋体" w:hAnsi="宋体" w:cs="Times New Roman"/>
          <w:color w:val="auto"/>
          <w:kern w:val="1"/>
          <w:sz w:val="24"/>
          <w:szCs w:val="24"/>
          <w:highlight w:val="none"/>
        </w:rPr>
      </w:pPr>
      <w:r>
        <w:rPr>
          <w:rFonts w:hint="eastAsia" w:ascii="宋体" w:hAnsi="宋体" w:cs="Times New Roman"/>
          <w:color w:val="auto"/>
          <w:kern w:val="1"/>
          <w:sz w:val="24"/>
          <w:szCs w:val="24"/>
          <w:highlight w:val="none"/>
        </w:rPr>
        <w:t>（2）投标人存在</w:t>
      </w:r>
      <w:r>
        <w:rPr>
          <w:rFonts w:hint="eastAsia" w:ascii="宋体" w:hAnsi="宋体" w:cs="Times New Roman"/>
          <w:color w:val="auto"/>
          <w:kern w:val="1"/>
          <w:sz w:val="24"/>
          <w:szCs w:val="24"/>
          <w:highlight w:val="none"/>
          <w:lang w:val="en-US" w:eastAsia="zh-CN"/>
        </w:rPr>
        <w:t>招标文件第二章投标人须知11.5条发生下列情况之一，投标保证金将被没收</w:t>
      </w:r>
      <w:r>
        <w:rPr>
          <w:rFonts w:hint="eastAsia" w:ascii="宋体" w:hAnsi="宋体" w:cs="Times New Roman"/>
          <w:color w:val="auto"/>
          <w:kern w:val="1"/>
          <w:sz w:val="24"/>
          <w:szCs w:val="24"/>
          <w:highlight w:val="none"/>
        </w:rPr>
        <w:t>的情形。</w:t>
      </w:r>
    </w:p>
    <w:p w14:paraId="3C1087F6">
      <w:pPr>
        <w:suppressAutoHyphens/>
        <w:spacing w:line="360" w:lineRule="auto"/>
        <w:ind w:firstLine="480"/>
        <w:rPr>
          <w:rFonts w:hint="eastAsia" w:ascii="宋体" w:hAnsi="宋体" w:cs="Times New Roman"/>
          <w:color w:val="auto"/>
          <w:kern w:val="1"/>
          <w:sz w:val="24"/>
          <w:szCs w:val="24"/>
          <w:highlight w:val="none"/>
        </w:rPr>
      </w:pPr>
      <w:r>
        <w:rPr>
          <w:rFonts w:hint="eastAsia" w:ascii="宋体" w:hAnsi="宋体" w:cs="Times New Roman"/>
          <w:color w:val="auto"/>
          <w:kern w:val="1"/>
          <w:sz w:val="24"/>
          <w:szCs w:val="24"/>
          <w:highlight w:val="none"/>
        </w:rPr>
        <w:t>（3）法律、法规规定的其他情形。</w:t>
      </w:r>
    </w:p>
    <w:p w14:paraId="2B1D161A">
      <w:pPr>
        <w:suppressAutoHyphens/>
        <w:adjustRightInd w:val="0"/>
        <w:spacing w:line="360" w:lineRule="atLeast"/>
        <w:textAlignment w:val="baseline"/>
        <w:rPr>
          <w:rFonts w:hint="eastAsia" w:ascii="宋体" w:hAnsi="宋体" w:cs="Times New Roman"/>
          <w:b/>
          <w:bCs/>
          <w:color w:val="auto"/>
          <w:kern w:val="0"/>
          <w:sz w:val="24"/>
          <w:szCs w:val="24"/>
          <w:highlight w:val="none"/>
        </w:rPr>
      </w:pPr>
      <w:r>
        <w:rPr>
          <w:rFonts w:hint="eastAsia" w:ascii="宋体" w:hAnsi="宋体" w:cs="Times New Roman"/>
          <w:b/>
          <w:bCs/>
          <w:color w:val="auto"/>
          <w:kern w:val="0"/>
          <w:sz w:val="24"/>
          <w:szCs w:val="24"/>
          <w:highlight w:val="none"/>
        </w:rPr>
        <w:t xml:space="preserve"> </w:t>
      </w:r>
    </w:p>
    <w:p w14:paraId="68D70A46">
      <w:pPr>
        <w:widowControl/>
        <w:suppressAutoHyphens/>
        <w:spacing w:line="500" w:lineRule="exact"/>
        <w:ind w:firstLine="482" w:firstLineChars="200"/>
        <w:rPr>
          <w:rFonts w:hint="eastAsia" w:ascii="宋体" w:hAnsi="宋体" w:cs="Times New Roman"/>
          <w:b/>
          <w:bCs/>
          <w:color w:val="auto"/>
          <w:kern w:val="1"/>
          <w:sz w:val="24"/>
          <w:szCs w:val="24"/>
          <w:highlight w:val="none"/>
        </w:rPr>
      </w:pPr>
      <w:r>
        <w:rPr>
          <w:rFonts w:hint="eastAsia" w:ascii="宋体" w:hAnsi="宋体" w:cs="Times New Roman"/>
          <w:b/>
          <w:bCs/>
          <w:color w:val="auto"/>
          <w:kern w:val="1"/>
          <w:sz w:val="24"/>
          <w:szCs w:val="24"/>
          <w:highlight w:val="none"/>
        </w:rPr>
        <w:t xml:space="preserve"> </w:t>
      </w:r>
    </w:p>
    <w:p w14:paraId="3E8A7FEC">
      <w:pPr>
        <w:widowControl/>
        <w:suppressAutoHyphens/>
        <w:spacing w:line="500" w:lineRule="exact"/>
        <w:ind w:firstLine="482" w:firstLineChars="200"/>
        <w:rPr>
          <w:rFonts w:hint="eastAsia" w:ascii="宋体" w:hAnsi="宋体" w:cs="Times New Roman"/>
          <w:b/>
          <w:bCs/>
          <w:color w:val="auto"/>
          <w:kern w:val="1"/>
          <w:sz w:val="24"/>
          <w:szCs w:val="24"/>
          <w:highlight w:val="none"/>
        </w:rPr>
      </w:pPr>
      <w:r>
        <w:rPr>
          <w:rFonts w:hint="eastAsia" w:ascii="宋体" w:hAnsi="宋体" w:cs="Times New Roman"/>
          <w:b/>
          <w:bCs/>
          <w:color w:val="auto"/>
          <w:kern w:val="1"/>
          <w:sz w:val="24"/>
          <w:szCs w:val="24"/>
          <w:highlight w:val="none"/>
        </w:rPr>
        <w:t xml:space="preserve"> </w:t>
      </w:r>
    </w:p>
    <w:p w14:paraId="1F0E8892">
      <w:pPr>
        <w:suppressAutoHyphens/>
        <w:adjustRightInd w:val="0"/>
        <w:spacing w:line="480" w:lineRule="auto"/>
        <w:ind w:firstLine="240" w:firstLineChars="100"/>
        <w:jc w:val="right"/>
        <w:textAlignment w:val="baseline"/>
        <w:rPr>
          <w:rFonts w:hint="eastAsia" w:ascii="宋体" w:hAnsi="宋体" w:cs="Times New Roman"/>
          <w:color w:val="auto"/>
          <w:kern w:val="0"/>
          <w:sz w:val="24"/>
          <w:szCs w:val="24"/>
          <w:highlight w:val="none"/>
        </w:rPr>
      </w:pPr>
      <w:r>
        <w:rPr>
          <w:rFonts w:hint="eastAsia" w:ascii="宋体" w:hAnsi="宋体" w:cs="Times New Roman"/>
          <w:color w:val="auto"/>
          <w:kern w:val="0"/>
          <w:sz w:val="24"/>
          <w:szCs w:val="24"/>
          <w:highlight w:val="none"/>
        </w:rPr>
        <w:t>投标人：</w:t>
      </w:r>
      <w:r>
        <w:rPr>
          <w:rFonts w:hint="eastAsia" w:ascii="宋体" w:hAnsi="宋体" w:cs="Times New Roman"/>
          <w:color w:val="auto"/>
          <w:kern w:val="0"/>
          <w:sz w:val="24"/>
          <w:szCs w:val="24"/>
          <w:highlight w:val="none"/>
          <w:u w:val="single"/>
        </w:rPr>
        <w:t xml:space="preserve">             </w:t>
      </w:r>
      <w:r>
        <w:rPr>
          <w:rFonts w:hint="eastAsia" w:ascii="宋体" w:hAnsi="宋体" w:cs="Times New Roman"/>
          <w:color w:val="auto"/>
          <w:kern w:val="0"/>
          <w:sz w:val="24"/>
          <w:szCs w:val="24"/>
          <w:highlight w:val="none"/>
        </w:rPr>
        <w:t xml:space="preserve">（盖单位公章） </w:t>
      </w:r>
    </w:p>
    <w:p w14:paraId="3FA5C516">
      <w:pPr>
        <w:suppressAutoHyphens/>
        <w:adjustRightInd w:val="0"/>
        <w:spacing w:line="360" w:lineRule="atLeast"/>
        <w:jc w:val="right"/>
        <w:textAlignment w:val="baseline"/>
        <w:rPr>
          <w:rFonts w:hint="eastAsia" w:ascii="Times New Roman" w:hAnsi="Times New Roman" w:cs="Times New Roman"/>
          <w:color w:val="auto"/>
          <w:kern w:val="0"/>
          <w:sz w:val="20"/>
          <w:szCs w:val="20"/>
          <w:highlight w:val="none"/>
        </w:rPr>
      </w:pPr>
      <w:r>
        <w:rPr>
          <w:rFonts w:hint="eastAsia" w:ascii="宋体" w:hAnsi="宋体" w:cs="Times New Roman"/>
          <w:color w:val="auto"/>
          <w:kern w:val="0"/>
          <w:sz w:val="24"/>
          <w:szCs w:val="24"/>
          <w:highlight w:val="none"/>
        </w:rPr>
        <w:t>日期：</w:t>
      </w:r>
      <w:r>
        <w:rPr>
          <w:rFonts w:hint="eastAsia" w:ascii="宋体" w:hAnsi="宋体" w:cs="Times New Roman"/>
          <w:color w:val="auto"/>
          <w:kern w:val="0"/>
          <w:sz w:val="24"/>
          <w:szCs w:val="24"/>
          <w:highlight w:val="none"/>
          <w:u w:val="single"/>
        </w:rPr>
        <w:t xml:space="preserve">      </w:t>
      </w:r>
      <w:r>
        <w:rPr>
          <w:rFonts w:hint="eastAsia" w:ascii="宋体" w:hAnsi="宋体" w:cs="Times New Roman"/>
          <w:color w:val="auto"/>
          <w:kern w:val="0"/>
          <w:sz w:val="24"/>
          <w:szCs w:val="24"/>
          <w:highlight w:val="none"/>
        </w:rPr>
        <w:t>年</w:t>
      </w:r>
      <w:r>
        <w:rPr>
          <w:rFonts w:hint="eastAsia" w:ascii="宋体" w:hAnsi="宋体" w:cs="Times New Roman"/>
          <w:color w:val="auto"/>
          <w:kern w:val="0"/>
          <w:sz w:val="24"/>
          <w:szCs w:val="24"/>
          <w:highlight w:val="none"/>
          <w:u w:val="single"/>
        </w:rPr>
        <w:t xml:space="preserve">     </w:t>
      </w:r>
      <w:r>
        <w:rPr>
          <w:rFonts w:hint="eastAsia" w:ascii="宋体" w:hAnsi="宋体" w:cs="Times New Roman"/>
          <w:color w:val="auto"/>
          <w:kern w:val="0"/>
          <w:sz w:val="24"/>
          <w:szCs w:val="24"/>
          <w:highlight w:val="none"/>
        </w:rPr>
        <w:t>月</w:t>
      </w:r>
      <w:r>
        <w:rPr>
          <w:rFonts w:hint="eastAsia" w:ascii="宋体" w:hAnsi="宋体" w:cs="Times New Roman"/>
          <w:color w:val="auto"/>
          <w:kern w:val="0"/>
          <w:sz w:val="24"/>
          <w:szCs w:val="24"/>
          <w:highlight w:val="none"/>
          <w:u w:val="single"/>
        </w:rPr>
        <w:t xml:space="preserve">    日</w:t>
      </w:r>
    </w:p>
    <w:p w14:paraId="45C43239">
      <w:pPr>
        <w:suppressAutoHyphens/>
        <w:rPr>
          <w:rFonts w:ascii="Times New Roman" w:hAnsi="Times New Roman" w:cs="Times New Roman"/>
          <w:color w:val="auto"/>
          <w:kern w:val="1"/>
          <w:highlight w:val="none"/>
        </w:rPr>
      </w:pPr>
    </w:p>
    <w:p w14:paraId="4C68A5F4">
      <w:pPr>
        <w:suppressAutoHyphens/>
        <w:rPr>
          <w:rFonts w:ascii="Times New Roman" w:hAnsi="Times New Roman" w:cs="Times New Roman"/>
          <w:color w:val="auto"/>
          <w:kern w:val="1"/>
          <w:highlight w:val="none"/>
        </w:rPr>
      </w:pPr>
    </w:p>
    <w:p w14:paraId="25871696">
      <w:pPr>
        <w:suppressAutoHyphens/>
        <w:rPr>
          <w:rFonts w:ascii="Times New Roman" w:hAnsi="Times New Roman" w:cs="Times New Roman"/>
          <w:color w:val="auto"/>
          <w:kern w:val="1"/>
          <w:highlight w:val="none"/>
        </w:rPr>
      </w:pPr>
    </w:p>
    <w:p w14:paraId="52F4C048">
      <w:pPr>
        <w:tabs>
          <w:tab w:val="left" w:pos="1600"/>
        </w:tabs>
        <w:suppressAutoHyphens/>
        <w:bidi w:val="0"/>
        <w:snapToGrid w:val="0"/>
        <w:spacing w:line="560" w:lineRule="exact"/>
        <w:ind w:left="-18" w:leftChars="-165" w:hanging="328" w:hangingChars="109"/>
        <w:jc w:val="both"/>
        <w:rPr>
          <w:rFonts w:hint="eastAsia" w:ascii="宋体" w:hAnsi="宋体" w:eastAsia="宋体" w:cs="宋体"/>
          <w:b/>
          <w:color w:val="auto"/>
          <w:kern w:val="1"/>
          <w:sz w:val="30"/>
          <w:szCs w:val="30"/>
          <w:highlight w:val="none"/>
          <w:lang w:eastAsia="zh-CN"/>
        </w:rPr>
      </w:pPr>
    </w:p>
    <w:p w14:paraId="33FD1643">
      <w:pPr>
        <w:tabs>
          <w:tab w:val="left" w:pos="1600"/>
        </w:tabs>
        <w:suppressAutoHyphens/>
        <w:bidi w:val="0"/>
        <w:snapToGrid w:val="0"/>
        <w:spacing w:line="560" w:lineRule="exact"/>
        <w:ind w:left="-18" w:leftChars="-165" w:hanging="328" w:hangingChars="109"/>
        <w:jc w:val="both"/>
        <w:rPr>
          <w:rFonts w:hint="eastAsia" w:ascii="宋体" w:hAnsi="宋体" w:eastAsia="宋体" w:cs="宋体"/>
          <w:b/>
          <w:color w:val="auto"/>
          <w:kern w:val="1"/>
          <w:sz w:val="30"/>
          <w:szCs w:val="30"/>
          <w:highlight w:val="none"/>
          <w:lang w:eastAsia="zh-CN"/>
        </w:rPr>
      </w:pPr>
    </w:p>
    <w:p w14:paraId="0DE079BC">
      <w:pPr>
        <w:rPr>
          <w:color w:val="auto"/>
          <w:highlight w:val="none"/>
        </w:rPr>
      </w:pPr>
    </w:p>
    <w:sectPr>
      <w:headerReference r:id="rId3" w:type="default"/>
      <w:footerReference r:id="rId4" w:type="default"/>
      <w:footerReference r:id="rId5" w:type="even"/>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å®‹ä½“">
    <w:altName w:val="Arial"/>
    <w:panose1 w:val="00000000000000000000"/>
    <w:charset w:val="00"/>
    <w:family w:val="swiss"/>
    <w:pitch w:val="default"/>
    <w:sig w:usb0="00000000" w:usb1="00000000" w:usb2="00000000" w:usb3="00000000" w:csb0="00000001" w:csb1="00000000"/>
  </w:font>
  <w:font w:name="瀹嬩綋">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79FA3">
    <w:pPr>
      <w:pStyle w:val="11"/>
      <w:framePr w:wrap="around" w:vAnchor="text" w:hAnchor="margin" w:xAlign="center" w:y="1"/>
      <w:rPr>
        <w:rStyle w:val="19"/>
        <w:rFonts w:ascii="Times New Roman" w:hAnsi="Times New Roman" w:eastAsia="宋体" w:cs="Times New Roman"/>
      </w:rPr>
    </w:pPr>
    <w:r>
      <w:rPr>
        <w:rFonts w:ascii="Times New Roman" w:hAnsi="Times New Roman" w:eastAsia="宋体" w:cs="Times New Roman"/>
      </w:rPr>
      <w:fldChar w:fldCharType="begin"/>
    </w:r>
    <w:r>
      <w:rPr>
        <w:rStyle w:val="19"/>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Style w:val="19"/>
        <w:rFonts w:ascii="Times New Roman" w:hAnsi="Times New Roman" w:eastAsia="宋体" w:cs="Times New Roman"/>
        <w:sz w:val="21"/>
        <w:szCs w:val="24"/>
      </w:rPr>
      <w:t>9</w:t>
    </w:r>
    <w:r>
      <w:rPr>
        <w:rFonts w:ascii="Times New Roman" w:hAnsi="Times New Roman" w:eastAsia="宋体" w:cs="Times New Roman"/>
      </w:rPr>
      <w:fldChar w:fldCharType="end"/>
    </w:r>
  </w:p>
  <w:p w14:paraId="2E61AE95">
    <w:pPr>
      <w:pStyle w:val="11"/>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BBC0">
    <w:pPr>
      <w:pStyle w:val="11"/>
      <w:framePr w:wrap="around" w:vAnchor="text" w:hAnchor="margin" w:xAlign="center" w:y="1"/>
      <w:rPr>
        <w:rStyle w:val="19"/>
        <w:rFonts w:ascii="Times New Roman" w:hAnsi="Times New Roman" w:eastAsia="宋体" w:cs="Times New Roman"/>
      </w:rPr>
    </w:pPr>
    <w:r>
      <w:rPr>
        <w:rFonts w:ascii="Times New Roman" w:hAnsi="Times New Roman" w:eastAsia="宋体" w:cs="Times New Roman"/>
      </w:rPr>
      <w:fldChar w:fldCharType="begin"/>
    </w:r>
    <w:r>
      <w:rPr>
        <w:rStyle w:val="19"/>
        <w:rFonts w:ascii="Times New Roman" w:hAnsi="Times New Roman" w:eastAsia="宋体" w:cs="Times New Roman"/>
        <w:sz w:val="21"/>
        <w:szCs w:val="24"/>
      </w:rPr>
      <w:instrText xml:space="preserve">PAGE  </w:instrText>
    </w:r>
    <w:r>
      <w:rPr>
        <w:rFonts w:ascii="Times New Roman" w:hAnsi="Times New Roman" w:eastAsia="宋体" w:cs="Times New Roman"/>
      </w:rPr>
      <w:fldChar w:fldCharType="separate"/>
    </w:r>
    <w:r>
      <w:rPr>
        <w:rFonts w:ascii="Times New Roman" w:hAnsi="Times New Roman" w:eastAsia="宋体" w:cs="Times New Roman"/>
      </w:rPr>
      <w:fldChar w:fldCharType="end"/>
    </w:r>
  </w:p>
  <w:p w14:paraId="055FFE8F">
    <w:pPr>
      <w:pStyle w:val="11"/>
      <w:rPr>
        <w:rFonts w:ascii="Times New Roman" w:hAnsi="Times New Roman"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F2A0E">
    <w:pPr>
      <w:pStyle w:val="12"/>
      <w:pBdr>
        <w:bottom w:val="none" w:color="auto" w:sz="0" w:space="0"/>
      </w:pBdr>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99E12A"/>
    <w:multiLevelType w:val="singleLevel"/>
    <w:tmpl w:val="9399E12A"/>
    <w:lvl w:ilvl="0" w:tentative="0">
      <w:start w:val="4"/>
      <w:numFmt w:val="chineseCounting"/>
      <w:suff w:val="space"/>
      <w:lvlText w:val="第%1章"/>
      <w:lvlJc w:val="left"/>
      <w:rPr>
        <w:rFonts w:hint="eastAsia"/>
      </w:rPr>
    </w:lvl>
  </w:abstractNum>
  <w:abstractNum w:abstractNumId="1">
    <w:nsid w:val="C893EAC7"/>
    <w:multiLevelType w:val="singleLevel"/>
    <w:tmpl w:val="C893EAC7"/>
    <w:lvl w:ilvl="0" w:tentative="0">
      <w:start w:val="1"/>
      <w:numFmt w:val="decimal"/>
      <w:suff w:val="space"/>
      <w:lvlText w:val="（%1）"/>
      <w:lvlJc w:val="left"/>
    </w:lvl>
  </w:abstractNum>
  <w:abstractNum w:abstractNumId="2">
    <w:nsid w:val="00000002"/>
    <w:multiLevelType w:val="singleLevel"/>
    <w:tmpl w:val="00000002"/>
    <w:lvl w:ilvl="0" w:tentative="0">
      <w:start w:val="2"/>
      <w:numFmt w:val="decimal"/>
      <w:suff w:val="nothing"/>
      <w:lvlText w:val="（%1）"/>
      <w:lvlJc w:val="left"/>
    </w:lvl>
  </w:abstractNum>
  <w:abstractNum w:abstractNumId="3">
    <w:nsid w:val="02734028"/>
    <w:multiLevelType w:val="singleLevel"/>
    <w:tmpl w:val="02734028"/>
    <w:lvl w:ilvl="0" w:tentative="0">
      <w:start w:val="3"/>
      <w:numFmt w:val="decimal"/>
      <w:suff w:val="nothing"/>
      <w:lvlText w:val="%1、"/>
      <w:lvlJc w:val="left"/>
    </w:lvl>
  </w:abstractNum>
  <w:abstractNum w:abstractNumId="4">
    <w:nsid w:val="658B5CB3"/>
    <w:multiLevelType w:val="multilevel"/>
    <w:tmpl w:val="658B5CB3"/>
    <w:lvl w:ilvl="0" w:tentative="0">
      <w:start w:val="3"/>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6DC7607"/>
    <w:multiLevelType w:val="singleLevel"/>
    <w:tmpl w:val="66DC7607"/>
    <w:lvl w:ilvl="0" w:tentative="0">
      <w:start w:val="2"/>
      <w:numFmt w:val="decimal"/>
      <w:suff w:val="nothing"/>
      <w:lvlText w:val="（%1）"/>
      <w:lvlJc w:val="left"/>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B47CCA"/>
    <w:rsid w:val="09082248"/>
    <w:rsid w:val="0B0069E5"/>
    <w:rsid w:val="0CE744E7"/>
    <w:rsid w:val="16EA7CB4"/>
    <w:rsid w:val="1A044D0B"/>
    <w:rsid w:val="1A130136"/>
    <w:rsid w:val="23755D88"/>
    <w:rsid w:val="261E52E3"/>
    <w:rsid w:val="2AB253C7"/>
    <w:rsid w:val="2DC378EB"/>
    <w:rsid w:val="2DF857E7"/>
    <w:rsid w:val="30A61108"/>
    <w:rsid w:val="33311563"/>
    <w:rsid w:val="345D4BBF"/>
    <w:rsid w:val="41EC0D67"/>
    <w:rsid w:val="49810B69"/>
    <w:rsid w:val="4E133D67"/>
    <w:rsid w:val="4F1D5652"/>
    <w:rsid w:val="4F46070C"/>
    <w:rsid w:val="52914DAE"/>
    <w:rsid w:val="53484FFE"/>
    <w:rsid w:val="5B0C0ECC"/>
    <w:rsid w:val="5D0B35B7"/>
    <w:rsid w:val="64B47CCA"/>
    <w:rsid w:val="65EB11B2"/>
    <w:rsid w:val="6D6B5FE5"/>
    <w:rsid w:val="704936A5"/>
    <w:rsid w:val="710C7A33"/>
    <w:rsid w:val="763F2868"/>
    <w:rsid w:val="77224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paragraph" w:styleId="5">
    <w:name w:val="heading 3"/>
    <w:next w:val="6"/>
    <w:qFormat/>
    <w:uiPriority w:val="0"/>
    <w:pPr>
      <w:keepNext/>
      <w:keepLines/>
      <w:widowControl w:val="0"/>
      <w:spacing w:before="260" w:beforeLines="0" w:after="260" w:afterLines="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ind w:left="420" w:leftChars="200" w:firstLine="420" w:firstLineChars="200"/>
      <w:jc w:val="both"/>
    </w:pPr>
    <w:rPr>
      <w:rFonts w:ascii="Times New Roman" w:hAnsi="Times New Roman" w:eastAsia="宋体" w:cs="Times New Roman"/>
      <w:spacing w:val="20"/>
      <w:kern w:val="2"/>
      <w:sz w:val="21"/>
      <w:szCs w:val="24"/>
      <w:lang w:val="en-US" w:eastAsia="zh-CN" w:bidi="ar-SA"/>
    </w:rPr>
  </w:style>
  <w:style w:type="paragraph" w:styleId="3">
    <w:name w:val="Body Text Indent"/>
    <w:basedOn w:val="1"/>
    <w:next w:val="1"/>
    <w:unhideWhenUsed/>
    <w:qFormat/>
    <w:uiPriority w:val="0"/>
    <w:pPr>
      <w:widowControl w:val="0"/>
      <w:spacing w:after="120"/>
      <w:ind w:left="420" w:leftChars="200"/>
      <w:jc w:val="both"/>
    </w:pPr>
    <w:rPr>
      <w:rFonts w:ascii="Times New Roman" w:hAnsi="Times New Roman" w:eastAsia="宋体" w:cs="Times New Roman"/>
      <w:kern w:val="2"/>
      <w:sz w:val="21"/>
      <w:szCs w:val="22"/>
      <w:lang w:val="en-US" w:eastAsia="zh-CN" w:bidi="ar-SA"/>
    </w:rPr>
  </w:style>
  <w:style w:type="paragraph" w:styleId="6">
    <w:name w:val="Normal Indent"/>
    <w:qFormat/>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7">
    <w:name w:val="Body Text"/>
    <w:basedOn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8">
    <w:name w:val="Plain Text"/>
    <w:qFormat/>
    <w:uiPriority w:val="0"/>
    <w:pPr>
      <w:widowControl w:val="0"/>
      <w:jc w:val="both"/>
    </w:pPr>
    <w:rPr>
      <w:rFonts w:ascii="宋体" w:hAnsi="Courier New" w:eastAsia="宋体" w:cs="Times New Roman"/>
      <w:kern w:val="2"/>
      <w:sz w:val="21"/>
      <w:szCs w:val="20"/>
      <w:lang w:val="en-US" w:eastAsia="zh-CN" w:bidi="ar-SA"/>
    </w:rPr>
  </w:style>
  <w:style w:type="paragraph" w:styleId="9">
    <w:name w:val="Date"/>
    <w:next w:val="1"/>
    <w:qFormat/>
    <w:uiPriority w:val="0"/>
    <w:pPr>
      <w:widowControl w:val="0"/>
      <w:ind w:left="100" w:leftChars="2500"/>
      <w:jc w:val="both"/>
    </w:pPr>
    <w:rPr>
      <w:rFonts w:ascii="Times New Roman" w:hAnsi="Times New Roman" w:eastAsia="宋体" w:cs="Times New Roman"/>
      <w:kern w:val="2"/>
      <w:sz w:val="24"/>
      <w:szCs w:val="24"/>
      <w:lang w:val="en-US" w:eastAsia="zh-CN" w:bidi="ar-SA"/>
    </w:rPr>
  </w:style>
  <w:style w:type="paragraph" w:styleId="10">
    <w:name w:val="Body Text Indent 2"/>
    <w:qFormat/>
    <w:uiPriority w:val="0"/>
    <w:pPr>
      <w:widowControl w:val="0"/>
      <w:spacing w:after="120" w:afterLines="0" w:line="480" w:lineRule="auto"/>
      <w:ind w:left="420" w:leftChars="200"/>
      <w:jc w:val="both"/>
    </w:pPr>
    <w:rPr>
      <w:rFonts w:ascii="Times New Roman" w:hAnsi="Times New Roman" w:eastAsia="宋体" w:cs="Times New Roman"/>
      <w:kern w:val="2"/>
      <w:sz w:val="21"/>
      <w:szCs w:val="24"/>
      <w:lang w:val="en-US" w:eastAsia="zh-CN" w:bidi="ar-SA"/>
    </w:rPr>
  </w:style>
  <w:style w:type="paragraph" w:styleId="11">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2">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footnote text"/>
    <w:qFormat/>
    <w:uiPriority w:val="99"/>
    <w:pPr>
      <w:widowControl w:val="0"/>
      <w:adjustRightInd w:val="0"/>
      <w:spacing w:line="312" w:lineRule="atLeast"/>
      <w:jc w:val="left"/>
      <w:textAlignment w:val="baseline"/>
    </w:pPr>
    <w:rPr>
      <w:rFonts w:ascii="Times New Roman" w:hAnsi="Times New Roman" w:eastAsia="宋体" w:cs="Times New Roman"/>
      <w:kern w:val="0"/>
      <w:sz w:val="18"/>
      <w:szCs w:val="20"/>
      <w:lang w:val="en-US" w:eastAsia="zh-CN" w:bidi="ar-SA"/>
    </w:rPr>
  </w:style>
  <w:style w:type="paragraph" w:styleId="14">
    <w:name w:val="Body Text Indent 3"/>
    <w:qFormat/>
    <w:uiPriority w:val="0"/>
    <w:pPr>
      <w:widowControl w:val="0"/>
      <w:spacing w:after="120" w:afterLines="0"/>
      <w:ind w:left="420" w:leftChars="200"/>
      <w:jc w:val="both"/>
    </w:pPr>
    <w:rPr>
      <w:rFonts w:ascii="Times New Roman" w:hAnsi="Times New Roman" w:eastAsia="宋体" w:cs="Times New Roman"/>
      <w:kern w:val="2"/>
      <w:sz w:val="16"/>
      <w:szCs w:val="16"/>
      <w:lang w:val="en-US" w:eastAsia="zh-CN" w:bidi="ar-SA"/>
    </w:rPr>
  </w:style>
  <w:style w:type="paragraph" w:styleId="15">
    <w:name w:val="Normal (Web)"/>
    <w:next w:val="16"/>
    <w:qFormat/>
    <w:uiPriority w:val="0"/>
    <w:pPr>
      <w:widowControl w:val="0"/>
      <w:suppressAutoHyphens/>
      <w:jc w:val="left"/>
    </w:pPr>
    <w:rPr>
      <w:rFonts w:ascii="Times New Roman" w:hAnsi="Times New Roman" w:eastAsia="宋体" w:cs="Times New Roman"/>
      <w:kern w:val="1"/>
      <w:sz w:val="24"/>
      <w:szCs w:val="24"/>
      <w:lang w:val="en-US" w:eastAsia="zh-CN" w:bidi="ar-SA"/>
    </w:rPr>
  </w:style>
  <w:style w:type="paragraph" w:customStyle="1" w:styleId="16">
    <w:name w:val="样式 标题 3 + (中文) 黑体 小四 非加粗 段前: 7.8 磅 段后: 0 磅 行距: 固定值 20 磅"/>
    <w:qFormat/>
    <w:uiPriority w:val="0"/>
    <w:pPr>
      <w:keepNext/>
      <w:keepLines/>
      <w:widowControl w:val="0"/>
      <w:adjustRightInd/>
      <w:spacing w:before="0" w:after="0" w:line="400" w:lineRule="exact"/>
      <w:jc w:val="both"/>
      <w:textAlignment w:val="auto"/>
      <w:outlineLvl w:val="2"/>
    </w:pPr>
    <w:rPr>
      <w:rFonts w:ascii="Times New Roman" w:hAnsi="Times New Roman" w:eastAsia="黑体" w:cs="宋体"/>
      <w:kern w:val="2"/>
      <w:sz w:val="24"/>
      <w:szCs w:val="20"/>
      <w:lang w:val="en-US" w:eastAsia="zh-CN" w:bidi="ar-SA"/>
    </w:rPr>
  </w:style>
  <w:style w:type="character" w:styleId="19">
    <w:name w:val="page number"/>
    <w:qFormat/>
    <w:uiPriority w:val="0"/>
  </w:style>
  <w:style w:type="paragraph" w:customStyle="1" w:styleId="20">
    <w:name w:val="样式 标题 3 + (中文) 黑体 小四 非加粗 段前: 7.8 磅 段后: 0 磅 行距: 固定值 20 磅_0"/>
    <w:qFormat/>
    <w:uiPriority w:val="0"/>
    <w:pPr>
      <w:keepNext/>
      <w:keepLines/>
      <w:widowControl w:val="0"/>
      <w:spacing w:before="0" w:after="0" w:line="400" w:lineRule="exact"/>
      <w:jc w:val="both"/>
      <w:outlineLvl w:val="2"/>
    </w:pPr>
    <w:rPr>
      <w:rFonts w:ascii="Calibri" w:hAnsi="Calibri" w:eastAsia="黑体" w:cs="宋体"/>
      <w:kern w:val="2"/>
      <w:sz w:val="21"/>
      <w:szCs w:val="21"/>
      <w:lang w:val="en-US" w:eastAsia="zh-CN" w:bidi="ar-SA"/>
    </w:rPr>
  </w:style>
  <w:style w:type="paragraph" w:customStyle="1" w:styleId="21">
    <w:name w:val="Blockquote"/>
    <w:qFormat/>
    <w:uiPriority w:val="0"/>
    <w:pPr>
      <w:widowControl w:val="0"/>
      <w:autoSpaceDE w:val="0"/>
      <w:autoSpaceDN w:val="0"/>
      <w:adjustRightInd w:val="0"/>
      <w:spacing w:before="100" w:beforeLines="0" w:after="100" w:afterLines="0"/>
      <w:ind w:left="360" w:right="360"/>
      <w:jc w:val="left"/>
    </w:pPr>
    <w:rPr>
      <w:rFonts w:ascii="Times New Roman" w:hAnsi="Times New Roman" w:eastAsia="宋体" w:cs="Times New Roman"/>
      <w:kern w:val="0"/>
      <w:sz w:val="24"/>
      <w:szCs w:val="20"/>
      <w:lang w:val="en-US" w:eastAsia="zh-CN" w:bidi="ar-SA"/>
    </w:rPr>
  </w:style>
  <w:style w:type="paragraph" w:customStyle="1" w:styleId="22">
    <w:name w:val="正文_0_0"/>
    <w:qFormat/>
    <w:uiPriority w:val="0"/>
    <w:pPr>
      <w:widowControl w:val="0"/>
      <w:jc w:val="both"/>
    </w:pPr>
    <w:rPr>
      <w:rFonts w:ascii="Calibri" w:hAnsi="Calibri" w:eastAsia="宋体" w:cs="Times New Roman"/>
      <w:kern w:val="2"/>
      <w:sz w:val="21"/>
      <w:szCs w:val="21"/>
      <w:lang w:val="en-US" w:eastAsia="zh-CN" w:bidi="ar-SA"/>
    </w:rPr>
  </w:style>
  <w:style w:type="paragraph" w:customStyle="1" w:styleId="23">
    <w:name w:val="正文1"/>
    <w:next w:val="2"/>
    <w:qFormat/>
    <w:uiPriority w:val="0"/>
    <w:pPr>
      <w:widowControl/>
      <w:jc w:val="left"/>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23874</Words>
  <Characters>25441</Characters>
  <Lines>0</Lines>
  <Paragraphs>0</Paragraphs>
  <TotalTime>8</TotalTime>
  <ScaleCrop>false</ScaleCrop>
  <LinksUpToDate>false</LinksUpToDate>
  <CharactersWithSpaces>26092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2025-10-18T02:35:00Z</dcterms:created>
  <dc:creator>WPS_犹豫的潜行者</dc:creator>
  <cp:lastModifiedBy>WPS_犹豫的潜行者</cp:lastModifiedBy>
  <dcterms:modified xsi:type="dcterms:W3CDTF">2025-11-05T08:54:34Z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D6539BCF05F24F028D8B714F7013439D_11</vt:lpwstr>
  </property>
  <property fmtid="{D5CDD505-2E9C-101B-9397-08002B2CF9AE}" pid="4" name="KSOTemplateDocerSaveRecord">
    <vt:lpwstr>eyJoZGlkIjoiNGNjZjk0OTlmNjEzNTA2MGU0NTdjNmUzYjdlNWEzODAiLCJ1c2VySWQiOiIxNDk2NDEwMDEifQ==</vt:lpwstr>
  </property>
</Properties>
</file>